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A26" w:rsidRDefault="002B5A26" w:rsidP="002B5A26">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ESTADO DE GOIÁS</w:t>
      </w:r>
    </w:p>
    <w:p w:rsidR="002B5A26" w:rsidRDefault="002B5A26" w:rsidP="002B5A26">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SECRETARIA DE ESTADO DA ECONOMIA</w:t>
      </w:r>
    </w:p>
    <w:p w:rsidR="002B5A26" w:rsidRDefault="002B5A26" w:rsidP="002B5A26">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GERÊNCIA DE ORIENTAÇÃO TRIBUTÁRIA</w:t>
      </w:r>
    </w:p>
    <w:p w:rsidR="002B5A26" w:rsidRDefault="002B5A26" w:rsidP="002B5A26">
      <w:pPr>
        <w:pStyle w:val="NormalWeb"/>
        <w:spacing w:before="0" w:beforeAutospacing="0" w:after="0" w:afterAutospacing="0"/>
        <w:jc w:val="center"/>
        <w:rPr>
          <w:rFonts w:ascii="Calibri" w:hAnsi="Calibri" w:cs="Calibri"/>
          <w:color w:val="000000"/>
          <w:sz w:val="20"/>
          <w:szCs w:val="20"/>
        </w:rPr>
      </w:pPr>
      <w:r>
        <w:rPr>
          <w:rFonts w:ascii="Calibri" w:hAnsi="Calibri" w:cs="Calibri"/>
          <w:color w:val="000000"/>
          <w:sz w:val="20"/>
          <w:szCs w:val="20"/>
        </w:rPr>
        <w:t> </w:t>
      </w:r>
    </w:p>
    <w:p w:rsidR="002B5A26" w:rsidRDefault="002B5A26" w:rsidP="002B5A26">
      <w:pPr>
        <w:pStyle w:val="NormalWeb"/>
        <w:spacing w:before="0" w:beforeAutospacing="0" w:after="0" w:afterAutospacing="0"/>
        <w:jc w:val="center"/>
        <w:rPr>
          <w:rFonts w:ascii="Calibri" w:hAnsi="Calibri" w:cs="Calibri"/>
          <w:color w:val="000000"/>
          <w:sz w:val="20"/>
          <w:szCs w:val="20"/>
        </w:rPr>
      </w:pPr>
      <w:r>
        <w:rPr>
          <w:rFonts w:ascii="Calibri" w:hAnsi="Calibri" w:cs="Calibri"/>
          <w:color w:val="000000"/>
          <w:sz w:val="20"/>
          <w:szCs w:val="20"/>
        </w:rPr>
        <w:t> </w:t>
      </w:r>
    </w:p>
    <w:p w:rsidR="003C4237" w:rsidRDefault="003C4237" w:rsidP="003C4237">
      <w:pPr>
        <w:pStyle w:val="textoalinhadoesquerda"/>
        <w:spacing w:before="120" w:beforeAutospacing="0" w:after="120" w:afterAutospacing="0"/>
        <w:ind w:left="120" w:right="120"/>
        <w:rPr>
          <w:rFonts w:ascii="Calibri" w:hAnsi="Calibri" w:cs="Calibri"/>
          <w:color w:val="000000"/>
          <w:sz w:val="27"/>
          <w:szCs w:val="27"/>
        </w:rPr>
      </w:pPr>
      <w:r>
        <w:rPr>
          <w:rFonts w:ascii="Calibri" w:hAnsi="Calibri" w:cs="Calibri"/>
          <w:color w:val="000000"/>
          <w:sz w:val="27"/>
          <w:szCs w:val="27"/>
        </w:rPr>
        <w:t> </w:t>
      </w:r>
    </w:p>
    <w:p w:rsidR="003C4237" w:rsidRDefault="003C4237" w:rsidP="003C4237">
      <w:pPr>
        <w:pStyle w:val="textoalinhadoesquerda"/>
        <w:spacing w:before="120" w:beforeAutospacing="0" w:after="120" w:afterAutospacing="0"/>
        <w:ind w:left="120" w:right="120"/>
        <w:rPr>
          <w:rFonts w:ascii="Calibri" w:hAnsi="Calibri" w:cs="Calibri"/>
          <w:color w:val="000000"/>
          <w:sz w:val="27"/>
          <w:szCs w:val="27"/>
        </w:rPr>
      </w:pPr>
      <w:r>
        <w:rPr>
          <w:rStyle w:val="Forte"/>
          <w:rFonts w:ascii="Calibri" w:hAnsi="Calibri" w:cs="Calibri"/>
          <w:color w:val="000000"/>
          <w:sz w:val="27"/>
          <w:szCs w:val="27"/>
        </w:rPr>
        <w:t>Assunto:</w:t>
      </w:r>
      <w:r>
        <w:rPr>
          <w:rFonts w:ascii="Calibri" w:hAnsi="Calibri" w:cs="Calibri"/>
          <w:color w:val="000000"/>
          <w:sz w:val="27"/>
          <w:szCs w:val="27"/>
        </w:rPr>
        <w:t> Isenção para empresa do Simples Nacional. Pedido de restituição do imposto pago.</w:t>
      </w:r>
    </w:p>
    <w:p w:rsidR="003C4237" w:rsidRDefault="003C4237" w:rsidP="003C4237">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PARECER ECONOMIA/GEOT-15962 Nº 82/2025</w:t>
      </w:r>
    </w:p>
    <w:p w:rsidR="003C4237" w:rsidRDefault="003C4237" w:rsidP="003C4237">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rsidR="003C4237" w:rsidRDefault="003C4237" w:rsidP="003C4237">
      <w:pPr>
        <w:pStyle w:val="itemnivel1"/>
        <w:shd w:val="clear" w:color="auto" w:fill="E6E6E6"/>
        <w:spacing w:before="120" w:beforeAutospacing="0" w:after="120" w:afterAutospacing="0"/>
        <w:ind w:left="120" w:right="120"/>
        <w:jc w:val="both"/>
        <w:rPr>
          <w:rFonts w:ascii="Calibri" w:hAnsi="Calibri" w:cs="Calibri"/>
          <w:b/>
          <w:bCs/>
          <w:caps/>
          <w:color w:val="000000"/>
          <w:sz w:val="27"/>
          <w:szCs w:val="27"/>
        </w:rPr>
      </w:pPr>
      <w:r>
        <w:rPr>
          <w:rFonts w:ascii="Calibri" w:hAnsi="Calibri" w:cs="Calibri"/>
          <w:b/>
          <w:bCs/>
          <w:caps/>
          <w:color w:val="000000"/>
          <w:sz w:val="27"/>
          <w:szCs w:val="27"/>
        </w:rPr>
        <w:t>Relatório: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Trata-se de consulta encaminhada pelo contribuinte </w:t>
      </w:r>
      <w:r w:rsidR="001C12F7">
        <w:rPr>
          <w:rFonts w:ascii="Calibri" w:hAnsi="Calibri" w:cs="Calibri"/>
          <w:color w:val="000000"/>
          <w:sz w:val="27"/>
          <w:szCs w:val="27"/>
        </w:rPr>
        <w:t>(...)</w:t>
      </w:r>
      <w:r>
        <w:rPr>
          <w:rFonts w:ascii="Calibri" w:hAnsi="Calibri" w:cs="Calibri"/>
          <w:color w:val="000000"/>
          <w:sz w:val="27"/>
          <w:szCs w:val="27"/>
        </w:rPr>
        <w:t>, em que objetiva solucionar dúvidas acerca da legislação tributária.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Informa que atua no segmento de confecção de roupas e é enquadrado no Simples Nacional, recolhendo os tributos aplicando a faixa correspondente do anexo II da </w:t>
      </w:r>
      <w:proofErr w:type="spellStart"/>
      <w:r>
        <w:rPr>
          <w:rFonts w:ascii="Calibri" w:hAnsi="Calibri" w:cs="Calibri"/>
          <w:color w:val="000000"/>
          <w:sz w:val="27"/>
          <w:szCs w:val="27"/>
        </w:rPr>
        <w:t>Lc</w:t>
      </w:r>
      <w:proofErr w:type="spellEnd"/>
      <w:r>
        <w:rPr>
          <w:rFonts w:ascii="Calibri" w:hAnsi="Calibri" w:cs="Calibri"/>
          <w:color w:val="000000"/>
          <w:sz w:val="27"/>
          <w:szCs w:val="27"/>
        </w:rPr>
        <w:t xml:space="preserve"> nº 123/2003.</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Após verificar a existência da isenção prevista no art. 6º, inciso CXXII do Anexo IX do RCTE/GO, deseja obter a restituição do ICMS recolhido sem a aplicação do benefício. Para tanto, questiona se deve retificar o PGDAS antes de realizar o requerimento de repetição do indébito e quais seriam os documentos necessários para instruir a demanda.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É o relatório.</w:t>
      </w:r>
    </w:p>
    <w:p w:rsidR="003C4237" w:rsidRDefault="003C4237" w:rsidP="003C4237">
      <w:pPr>
        <w:pStyle w:val="itemnivel1"/>
        <w:shd w:val="clear" w:color="auto" w:fill="E6E6E6"/>
        <w:spacing w:before="120" w:beforeAutospacing="0" w:after="120" w:afterAutospacing="0"/>
        <w:ind w:left="120" w:right="120"/>
        <w:jc w:val="both"/>
        <w:rPr>
          <w:rFonts w:ascii="Calibri" w:hAnsi="Calibri" w:cs="Calibri"/>
          <w:b/>
          <w:bCs/>
          <w:caps/>
          <w:color w:val="000000"/>
          <w:sz w:val="27"/>
          <w:szCs w:val="27"/>
        </w:rPr>
      </w:pPr>
      <w:r>
        <w:rPr>
          <w:rFonts w:ascii="Calibri" w:hAnsi="Calibri" w:cs="Calibri"/>
          <w:b/>
          <w:bCs/>
          <w:caps/>
          <w:color w:val="000000"/>
          <w:sz w:val="27"/>
          <w:szCs w:val="27"/>
        </w:rPr>
        <w:t>Fundamentação: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 isenção é um benefício fiscal que tem como intuito excluir o crédito tributário. Esse instrumento tem dupla finalidade: por um lado, promove a desoneração fiscal, aliviando a carga tributária de determinados setores ou operações; por outro, estimula a atividade produtiva, incentivando investimentos e fomentando o desenvolvimento econômico.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Ao reduzir o encargo tributário, o legislador cria condições mais favoráveis para que setores estratégicos possam expandir suas atividades e gerar empregos. </w:t>
      </w:r>
      <w:proofErr w:type="spellStart"/>
      <w:r>
        <w:rPr>
          <w:rFonts w:ascii="Calibri" w:hAnsi="Calibri" w:cs="Calibri"/>
          <w:color w:val="000000"/>
          <w:sz w:val="27"/>
          <w:szCs w:val="27"/>
        </w:rPr>
        <w:t>Aliomar</w:t>
      </w:r>
      <w:proofErr w:type="spellEnd"/>
      <w:r>
        <w:rPr>
          <w:rFonts w:ascii="Calibri" w:hAnsi="Calibri" w:cs="Calibri"/>
          <w:color w:val="000000"/>
          <w:sz w:val="27"/>
          <w:szCs w:val="27"/>
        </w:rPr>
        <w:t xml:space="preserve"> Baleeiro (Direito tributário brasileiro, 11. ed., p. 931) assevera que a isenção "não é privilégio de classe ou de pessoas, mas uma política e aplicação da regra da capacidade contributiva ou de incentivos de determinadas atividades, que o Estado visa a incrementar pela conveniência pública".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Imbuído desse espírito, foi publicada a lei estadual nº 13.453/1999, segundo a qual o Chefe do Poder Executivo poderia conceder isenção do ICMS incidente na saída de vestuário ou roupas de cama, mesa e banho fabricadas por estabelecimento optante pelo Simples Nacional:</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b/>
          <w:bCs/>
          <w:i/>
          <w:iCs/>
          <w:color w:val="000000"/>
          <w:sz w:val="20"/>
          <w:szCs w:val="20"/>
        </w:rPr>
        <w:lastRenderedPageBreak/>
        <w:t>Art. 2º </w:t>
      </w:r>
      <w:r>
        <w:rPr>
          <w:rFonts w:ascii="Calibri" w:hAnsi="Calibri" w:cs="Calibri"/>
          <w:i/>
          <w:iCs/>
          <w:color w:val="000000"/>
          <w:sz w:val="20"/>
          <w:szCs w:val="20"/>
        </w:rPr>
        <w:t>Fica o Chefe do Poder Executivo autorizado, na forma limites e condições que estabelecer, a conceder:</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X - isenção do ICMS devido por empresa fabricante de vestuário, de roupas de cama, de mesa e de banho, optante pelo regime Especial Unificado de Arrecadação de Tributos e Contribuições devidos pelas Microempresas e Empresas de Pequeno Porte - Simples Nacional, na operação com produto de fabricação própria destinado à comercialização ou industrialização; (Redação conferida pela </w:t>
      </w:r>
      <w:hyperlink r:id="rId5" w:tgtFrame="_blank" w:history="1">
        <w:r>
          <w:rPr>
            <w:rStyle w:val="Hyperlink"/>
            <w:rFonts w:ascii="Calibri" w:hAnsi="Calibri" w:cs="Calibri"/>
            <w:i/>
            <w:iCs/>
            <w:sz w:val="20"/>
            <w:szCs w:val="20"/>
          </w:rPr>
          <w:t>Lei nº 18.640</w:t>
        </w:r>
      </w:hyperlink>
      <w:r>
        <w:rPr>
          <w:rFonts w:ascii="Calibri" w:hAnsi="Calibri" w:cs="Calibri"/>
          <w:i/>
          <w:iCs/>
          <w:color w:val="000000"/>
          <w:sz w:val="20"/>
          <w:szCs w:val="20"/>
        </w:rPr>
        <w:t> - vigência: 15.09.14)</w:t>
      </w:r>
    </w:p>
    <w:p w:rsidR="003C4237" w:rsidRPr="001C12F7" w:rsidRDefault="003C4237" w:rsidP="001C12F7">
      <w:pPr>
        <w:pStyle w:val="textocitao"/>
        <w:spacing w:before="80" w:beforeAutospacing="0" w:after="80" w:afterAutospacing="0"/>
        <w:jc w:val="both"/>
        <w:rPr>
          <w:rFonts w:ascii="Calibri" w:hAnsi="Calibri" w:cs="Calibri"/>
          <w:color w:val="000000"/>
          <w:sz w:val="27"/>
          <w:szCs w:val="27"/>
        </w:rPr>
      </w:pPr>
      <w:bookmarkStart w:id="0" w:name="_GoBack"/>
      <w:bookmarkEnd w:id="0"/>
      <w:r w:rsidRPr="001C12F7">
        <w:rPr>
          <w:rFonts w:ascii="Calibri" w:hAnsi="Calibri" w:cs="Calibri"/>
          <w:color w:val="000000"/>
          <w:sz w:val="27"/>
          <w:szCs w:val="27"/>
        </w:rPr>
        <w:t>Com base nessa autorização legal, foi publicado o Decreto nº 8.304/2014, que incluiu o inciso CXXII ao art. 6º do anexo IX do RCTE, prevendo a seguinte hipótese de isenção: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b/>
          <w:bCs/>
          <w:i/>
          <w:iCs/>
          <w:color w:val="000000"/>
          <w:sz w:val="20"/>
          <w:szCs w:val="20"/>
        </w:rPr>
        <w:t>Art. 6º </w:t>
      </w:r>
      <w:r>
        <w:rPr>
          <w:rFonts w:ascii="Calibri" w:hAnsi="Calibri" w:cs="Calibri"/>
          <w:i/>
          <w:iCs/>
          <w:color w:val="000000"/>
          <w:sz w:val="20"/>
          <w:szCs w:val="20"/>
        </w:rPr>
        <w:t>São isentos do ICMS:</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CXXII - a operação que destine produto de fabricação própria à comercialização ou industrialização, realizada por empresa fabricante do vestuário, de roupas de cama, de mesa e de banho optante pelo Regime Especial Unificado de Arrecadação de Tributos e Contribuições devidos pelas Microempresas e Empresas de Pequeno Porte - Simples Nacional -, aplicando-se, o benefício, inclusive (</w:t>
      </w:r>
      <w:hyperlink r:id="rId6" w:tgtFrame="_blank" w:history="1">
        <w:r>
          <w:rPr>
            <w:rStyle w:val="Hyperlink"/>
            <w:rFonts w:ascii="Calibri" w:hAnsi="Calibri" w:cs="Calibri"/>
            <w:i/>
            <w:iCs/>
            <w:sz w:val="20"/>
            <w:szCs w:val="20"/>
          </w:rPr>
          <w:t>Lei nº 13.453/99</w:t>
        </w:r>
      </w:hyperlink>
      <w:r>
        <w:rPr>
          <w:rFonts w:ascii="Calibri" w:hAnsi="Calibri" w:cs="Calibri"/>
          <w:i/>
          <w:iCs/>
          <w:color w:val="000000"/>
          <w:sz w:val="20"/>
          <w:szCs w:val="20"/>
        </w:rPr>
        <w:t>, art. 2º, X): (Redação acrescida pelo </w:t>
      </w:r>
      <w:hyperlink r:id="rId7" w:tgtFrame="_blank" w:history="1">
        <w:r>
          <w:rPr>
            <w:rStyle w:val="Hyperlink"/>
            <w:rFonts w:ascii="Calibri" w:hAnsi="Calibri" w:cs="Calibri"/>
            <w:i/>
            <w:iCs/>
            <w:sz w:val="20"/>
            <w:szCs w:val="20"/>
          </w:rPr>
          <w:t>Decreto nº 8.304</w:t>
        </w:r>
      </w:hyperlink>
      <w:r>
        <w:rPr>
          <w:rFonts w:ascii="Calibri" w:hAnsi="Calibri" w:cs="Calibri"/>
          <w:i/>
          <w:iCs/>
          <w:color w:val="000000"/>
          <w:sz w:val="20"/>
          <w:szCs w:val="20"/>
        </w:rPr>
        <w:t> - vigência 30.12.14)</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a) ao vestuário, às roupas de cama, de mesa e de banho cuja industrialização tenha sido efetuada por terceiro situado no Estado de Goiás por encomenda do industrial fabricante (</w:t>
      </w:r>
      <w:hyperlink r:id="rId8" w:tgtFrame="_blank" w:history="1">
        <w:r>
          <w:rPr>
            <w:rStyle w:val="Hyperlink"/>
            <w:rFonts w:ascii="Calibri" w:hAnsi="Calibri" w:cs="Calibri"/>
            <w:i/>
            <w:iCs/>
            <w:sz w:val="20"/>
            <w:szCs w:val="20"/>
          </w:rPr>
          <w:t>Lei nº 13.453/99</w:t>
        </w:r>
      </w:hyperlink>
      <w:r>
        <w:rPr>
          <w:rFonts w:ascii="Calibri" w:hAnsi="Calibri" w:cs="Calibri"/>
          <w:i/>
          <w:iCs/>
          <w:color w:val="000000"/>
          <w:sz w:val="20"/>
          <w:szCs w:val="20"/>
        </w:rPr>
        <w:t>, art. 2º, §1º); (Redação acrescida pelo </w:t>
      </w:r>
      <w:hyperlink r:id="rId9" w:tgtFrame="_blank" w:history="1">
        <w:r>
          <w:rPr>
            <w:rStyle w:val="Hyperlink"/>
            <w:rFonts w:ascii="Calibri" w:hAnsi="Calibri" w:cs="Calibri"/>
            <w:i/>
            <w:iCs/>
            <w:sz w:val="20"/>
            <w:szCs w:val="20"/>
          </w:rPr>
          <w:t>Decreto nº 8.304</w:t>
        </w:r>
      </w:hyperlink>
      <w:r>
        <w:rPr>
          <w:rFonts w:ascii="Calibri" w:hAnsi="Calibri" w:cs="Calibri"/>
          <w:i/>
          <w:iCs/>
          <w:color w:val="000000"/>
          <w:sz w:val="20"/>
          <w:szCs w:val="20"/>
        </w:rPr>
        <w:t> - vigência 30.12.14)</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b) à operação realizada por estabelecimento atacadista pertencente à empresa fabricante de vestuário, de roupas de cama, de mesa e de banho (</w:t>
      </w:r>
      <w:hyperlink r:id="rId10" w:tgtFrame="_blank" w:history="1">
        <w:r>
          <w:rPr>
            <w:rStyle w:val="Hyperlink"/>
            <w:rFonts w:ascii="Calibri" w:hAnsi="Calibri" w:cs="Calibri"/>
            <w:i/>
            <w:iCs/>
            <w:sz w:val="20"/>
            <w:szCs w:val="20"/>
          </w:rPr>
          <w:t>Lei nº 13.453/99</w:t>
        </w:r>
      </w:hyperlink>
      <w:r>
        <w:rPr>
          <w:rFonts w:ascii="Calibri" w:hAnsi="Calibri" w:cs="Calibri"/>
          <w:i/>
          <w:iCs/>
          <w:color w:val="000000"/>
          <w:sz w:val="20"/>
          <w:szCs w:val="20"/>
        </w:rPr>
        <w:t>, art. 2º, § 2º); (Redação acrescida pelo </w:t>
      </w:r>
      <w:hyperlink r:id="rId11" w:tgtFrame="_blank" w:history="1">
        <w:r>
          <w:rPr>
            <w:rStyle w:val="Hyperlink"/>
            <w:rFonts w:ascii="Calibri" w:hAnsi="Calibri" w:cs="Calibri"/>
            <w:i/>
            <w:iCs/>
            <w:sz w:val="20"/>
            <w:szCs w:val="20"/>
          </w:rPr>
          <w:t>Decreto nº 8.304</w:t>
        </w:r>
      </w:hyperlink>
      <w:r>
        <w:rPr>
          <w:rFonts w:ascii="Calibri" w:hAnsi="Calibri" w:cs="Calibri"/>
          <w:i/>
          <w:iCs/>
          <w:color w:val="000000"/>
          <w:sz w:val="20"/>
          <w:szCs w:val="20"/>
        </w:rPr>
        <w:t> - vigência 30.12.14)</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Embora parte da doutrina brasileira conceitue a isenção como uma exceção à norma de tributação, impedindo o nascimento da obrigação tributária (Machado, Hugo de Brito. Curso de direito tributário, 29. ed., p. 228), o Supremo Tribunal Federal, apoiado pela doutrina mais tradicional, posicionou-se no sentido de que a isenção se caracteriza como a dispensa legal do pagamento de determinado tributo devido, pelo que ocorre o fato gerador, mas a lei dispensa o seu pagamento. Para o Pretório Excelso, no campo das isenções, o fato jurídico ocorre, nascendo o vínculo obrigacional. Confira a ementa:</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i/>
          <w:iCs/>
          <w:color w:val="000000"/>
          <w:sz w:val="20"/>
          <w:szCs w:val="20"/>
        </w:rPr>
        <w:t>EMENTA: ICM. ISENÇÃO. (...) A expressão “incidirá” pressupõe que o Estado-membro, como decorre do caput desse artigo 23, tenha instituído, por lei estadual, esse imposto, e nada impede, evidentemente, que ele conceda, também por lei estadual, isenção, que, aliás, pressupõe a incidência, uma vez que ela – no entendimento que é o acolhido por este Tribunal – se caracteriza como a dispensa legal do pagamento de tributo devido. Recurso Extraordinário não conhecido. (RE 113.711/SP, 1a T., rel. Min. Moreira Alves, j. 26-06-1987)</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Assim, à luz da interpretação do STF, podemos dizer que a isenção é um instituto que impede a constituição do crédito tributário, mas </w:t>
      </w:r>
      <w:r>
        <w:rPr>
          <w:rFonts w:ascii="Calibri" w:hAnsi="Calibri" w:cs="Calibri"/>
          <w:color w:val="000000"/>
          <w:sz w:val="27"/>
          <w:szCs w:val="27"/>
        </w:rPr>
        <w:lastRenderedPageBreak/>
        <w:t xml:space="preserve">que não impede a </w:t>
      </w:r>
      <w:proofErr w:type="spellStart"/>
      <w:r>
        <w:rPr>
          <w:rFonts w:ascii="Calibri" w:hAnsi="Calibri" w:cs="Calibri"/>
          <w:color w:val="000000"/>
          <w:sz w:val="27"/>
          <w:szCs w:val="27"/>
        </w:rPr>
        <w:t>ocorrencia</w:t>
      </w:r>
      <w:proofErr w:type="spellEnd"/>
      <w:r>
        <w:rPr>
          <w:rFonts w:ascii="Calibri" w:hAnsi="Calibri" w:cs="Calibri"/>
          <w:color w:val="000000"/>
          <w:sz w:val="27"/>
          <w:szCs w:val="27"/>
        </w:rPr>
        <w:t xml:space="preserve"> do fato gerador e da obrigação que dele decorre.</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É cediço que a isenção fiscal opera com eficácia </w:t>
      </w:r>
      <w:proofErr w:type="spellStart"/>
      <w:r>
        <w:rPr>
          <w:rFonts w:ascii="Calibri" w:hAnsi="Calibri" w:cs="Calibri"/>
          <w:i/>
          <w:iCs/>
          <w:color w:val="000000"/>
          <w:sz w:val="27"/>
          <w:szCs w:val="27"/>
        </w:rPr>
        <w:t>ex</w:t>
      </w:r>
      <w:proofErr w:type="spellEnd"/>
      <w:r>
        <w:rPr>
          <w:rFonts w:ascii="Calibri" w:hAnsi="Calibri" w:cs="Calibri"/>
          <w:i/>
          <w:iCs/>
          <w:color w:val="000000"/>
          <w:sz w:val="27"/>
          <w:szCs w:val="27"/>
        </w:rPr>
        <w:t xml:space="preserve"> nunc</w:t>
      </w:r>
      <w:r>
        <w:rPr>
          <w:rFonts w:ascii="Calibri" w:hAnsi="Calibri" w:cs="Calibri"/>
          <w:color w:val="000000"/>
          <w:sz w:val="27"/>
          <w:szCs w:val="27"/>
        </w:rPr>
        <w:t xml:space="preserve">, ou seja, seus efeitos se iniciam a partir de sua publicação, não alcançando fatos geradores ocorridos anteriormente. A norma </w:t>
      </w:r>
      <w:proofErr w:type="spellStart"/>
      <w:r>
        <w:rPr>
          <w:rFonts w:ascii="Calibri" w:hAnsi="Calibri" w:cs="Calibri"/>
          <w:color w:val="000000"/>
          <w:sz w:val="27"/>
          <w:szCs w:val="27"/>
        </w:rPr>
        <w:t>isentiva</w:t>
      </w:r>
      <w:proofErr w:type="spellEnd"/>
      <w:r>
        <w:rPr>
          <w:rFonts w:ascii="Calibri" w:hAnsi="Calibri" w:cs="Calibri"/>
          <w:color w:val="000000"/>
          <w:sz w:val="27"/>
          <w:szCs w:val="27"/>
        </w:rPr>
        <w:t>, por se referir a tributos, deve total subserviência ao postulado da irretroatividade tributária, podendo desonerar apenas os tributos cujos fatos geradores sejam futuros. Portanto, a lei tributária é impedida de retroagir para atingir fatos geradores pretéritos.</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Para o caso concreto submetido a consulta, é importante definirmos se a isenção prevista no inciso CXXII do art. 6º do anexo IX do RCTE/GO é uma isenção concedida de forma geral ou em caráter individual.</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 diferença é fundamental porque a isenção, se for concedida em caráter individual, segundo o art. 179 do Código Tributário Nacional, somente é efetivada por despacho da autoridade administrativa após requerimento em que o contribuinte prove que atende aos requisitos da lei. Já se for concedida em caráter geral, o requerimento é dispensado e a publicação da lei já é suficiente para que o sujeito passivo goze do benefício legal. Vejamos como dispõe o CTN:</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179. A isenção, quando não concedida em caráter geral, é efetivada, em cada caso, por despacho da autoridade administrativa, em requerimento com o qual o interessado faça prova do preenchimento das condições e do cumprimento dos requisitos previstos em lei ou contrato para sua concessão.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1º Tratando-se de tributo lançado por período certo de tempo, o despacho referido neste artigo será renovado antes da expiração de cada período, cessando automaticamente os seus efeitos a partir do primeiro dia do período para o qual o interessado deixar de promover a continuidade do reconhecimento da isenção.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2º O despacho referido neste artigo não gera direito adquirido, aplicando-se, quando cabível, o disposto no art. 155.</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Analisando o disposto no inciso CXXII do art. 6º do anexo IX do RCTE, verifica-se que se trata de uma isenção mista, em que há um requisito subjetivo (empresa do Simples Nacional) e um requisito objetivo (operação com determinada mercadoria), concedida em caráter geral. Não se observa a necessidade de preenchimento de requisitos específicos e de requerimento por parte do possível beneficiário da norma.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Por conseguinte, eventual crédito tributário decorrente da operação isenta tem existência apenas virtual, já que a isenção impediria a própria constituição do referido crédito. Desse modo, entende-se que os pagamentos realizados posteriormente à instituição da isenção foram indevidos, sendo possível, em tese, o requerimento pela restituição.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lastRenderedPageBreak/>
        <w:t>Entretanto, a restituição tem como pressuposto os requisitos estabelecidos no art. 166 do Código Tributário Nacional, segundo o qual a restituição somente pode ser feita a quem prove ter assumido o ônus do imposto ou a quem este tenha autorizado o recebimento. Preceitua o dispositivo: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166. A restituição de tributos que comportem, por sua natureza, transferência do respectivo encargo financeiro somente será feita a quem prove haver assumido o referido encargo, ou, no caso de tê-lo transferido a terceiro, estar por este expressamente autorizado a recebê-la.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O artigo impõe uma </w:t>
      </w:r>
      <w:r>
        <w:rPr>
          <w:rStyle w:val="Forte"/>
          <w:rFonts w:ascii="Calibri" w:hAnsi="Calibri" w:cs="Calibri"/>
          <w:color w:val="000000"/>
          <w:sz w:val="27"/>
          <w:szCs w:val="27"/>
        </w:rPr>
        <w:t>condição essencial para a restituição de tributos indiretos</w:t>
      </w:r>
      <w:r>
        <w:rPr>
          <w:rFonts w:ascii="Calibri" w:hAnsi="Calibri" w:cs="Calibri"/>
          <w:color w:val="000000"/>
          <w:sz w:val="27"/>
          <w:szCs w:val="27"/>
        </w:rPr>
        <w:t>, como é o caso do ICMS: o contribuinte que pede a devolução deve provar que </w:t>
      </w:r>
      <w:r>
        <w:rPr>
          <w:rStyle w:val="Forte"/>
          <w:rFonts w:ascii="Calibri" w:hAnsi="Calibri" w:cs="Calibri"/>
          <w:color w:val="000000"/>
          <w:sz w:val="27"/>
          <w:szCs w:val="27"/>
        </w:rPr>
        <w:t>não repassou o custo do tributo a terceiros (como consumidores finais ou empresas na cadeia produtiva)</w:t>
      </w:r>
      <w:r>
        <w:rPr>
          <w:rFonts w:ascii="Calibri" w:hAnsi="Calibri" w:cs="Calibri"/>
          <w:color w:val="000000"/>
          <w:sz w:val="27"/>
          <w:szCs w:val="27"/>
        </w:rPr>
        <w:t> ou, se repassou, precisa ter </w:t>
      </w:r>
      <w:r>
        <w:rPr>
          <w:rStyle w:val="Forte"/>
          <w:rFonts w:ascii="Calibri" w:hAnsi="Calibri" w:cs="Calibri"/>
          <w:color w:val="000000"/>
          <w:sz w:val="27"/>
          <w:szCs w:val="27"/>
        </w:rPr>
        <w:t>autorização expressa de quem arcou com o custo</w:t>
      </w:r>
      <w:r>
        <w:rPr>
          <w:rFonts w:ascii="Calibri" w:hAnsi="Calibri" w:cs="Calibri"/>
          <w:color w:val="000000"/>
          <w:sz w:val="27"/>
          <w:szCs w:val="27"/>
        </w:rPr>
        <w:t>. O fundamento ético da norma é o princípio segundo o qual é vedado o </w:t>
      </w:r>
      <w:r>
        <w:rPr>
          <w:rStyle w:val="Forte"/>
          <w:rFonts w:ascii="Calibri" w:hAnsi="Calibri" w:cs="Calibri"/>
          <w:color w:val="000000"/>
          <w:sz w:val="27"/>
          <w:szCs w:val="27"/>
        </w:rPr>
        <w:t>enriquecimento sem causa</w:t>
      </w:r>
      <w:r>
        <w:rPr>
          <w:rFonts w:ascii="Calibri" w:hAnsi="Calibri" w:cs="Calibri"/>
          <w:color w:val="000000"/>
          <w:sz w:val="27"/>
          <w:szCs w:val="27"/>
        </w:rPr>
        <w:t>, impedindo que uma empresa receba de volta um tributo que já foi repassado a outra pessoa.</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Nesse sentido, posicionou-se o Tribunal de Justiça de Minas Gerais. Vejamos a ementa do acórdão: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EMENTA: APELAÇÃO CÍVEL - ICMS - RESTITUIÇÃO DOS VALORES PAGOS A MAIOR - REGIME TRIBUTÁRIO DO SIMPLES NACIONAL - INAPLICABILIDADE - ADOÇÃO DO REGIME DE DÉBITOS E CRÉDITOS -APLICAÇÃO DO ART. 166 DO CTN - REQUISITOS NÃO PREENCHIDOS - TRANSFERÊNCIA DO ENCARGO FINANCEIRO OU AUTORIZAÇÃO PARA REQUERER A REPETIÇÃO DO INDÉBITO - AUSÊNCIA DE PROVAS - RECURSO DESPROVIDO.</w:t>
      </w:r>
      <w:r>
        <w:rPr>
          <w:rFonts w:ascii="Calibri" w:hAnsi="Calibri" w:cs="Calibri"/>
          <w:color w:val="000000"/>
          <w:sz w:val="20"/>
          <w:szCs w:val="20"/>
        </w:rPr>
        <w:br/>
      </w:r>
      <w:r>
        <w:rPr>
          <w:rFonts w:ascii="Calibri" w:hAnsi="Calibri" w:cs="Calibri"/>
          <w:b/>
          <w:bCs/>
          <w:color w:val="000000"/>
          <w:sz w:val="20"/>
          <w:szCs w:val="20"/>
        </w:rPr>
        <w:t>O artigo 166 do Código Tributário Nacional estabelece</w:t>
      </w:r>
      <w:r>
        <w:rPr>
          <w:rFonts w:ascii="Calibri" w:hAnsi="Calibri" w:cs="Calibri"/>
          <w:color w:val="000000"/>
          <w:sz w:val="20"/>
          <w:szCs w:val="20"/>
        </w:rPr>
        <w:t> que todo pedido de restituição de indébito tributário, relativo a tributos cujo ônus financeiro restou transferido a terceira pessoa, somente será possível se o requerente demonstrar que arcou sozinho com tal ônus ou, então, se a terceira pessoa que recebeu esse encargo lhe autorizar, expressamente, a realizar tal repetição.</w:t>
      </w:r>
      <w:r>
        <w:rPr>
          <w:rFonts w:ascii="Calibri" w:hAnsi="Calibri" w:cs="Calibri"/>
          <w:color w:val="000000"/>
          <w:sz w:val="20"/>
          <w:szCs w:val="20"/>
        </w:rPr>
        <w:br/>
        <w:t>Considerando que a apelante não se desincumbiu de comprovar que assumiu o encargo tributário ou que o contribuinte de fato tenha autorizado a apelante a pleitear o ressarcimento dos valores pagos supostamente de forma indevida, consoante determina o art. 166 do CTN, a manutenção da sentença é à medida que se impõe, não se admitindo a repetição do indébito. (TJMG - Apelação Cível </w:t>
      </w:r>
      <w:hyperlink r:id="rId12" w:tgtFrame="_blank" w:history="1">
        <w:r>
          <w:rPr>
            <w:rStyle w:val="Hyperlink"/>
            <w:rFonts w:ascii="Calibri" w:hAnsi="Calibri" w:cs="Calibri"/>
            <w:sz w:val="20"/>
            <w:szCs w:val="20"/>
          </w:rPr>
          <w:t>1.0479.16.005837-2/001</w:t>
        </w:r>
      </w:hyperlink>
      <w:r>
        <w:rPr>
          <w:rFonts w:ascii="Calibri" w:hAnsi="Calibri" w:cs="Calibri"/>
          <w:color w:val="000000"/>
          <w:sz w:val="20"/>
          <w:szCs w:val="20"/>
        </w:rPr>
        <w:t> </w:t>
      </w:r>
      <w:hyperlink r:id="rId13" w:tgtFrame="_blank" w:history="1">
        <w:r>
          <w:rPr>
            <w:rStyle w:val="Hyperlink"/>
            <w:rFonts w:ascii="Calibri" w:hAnsi="Calibri" w:cs="Calibri"/>
            <w:sz w:val="20"/>
            <w:szCs w:val="20"/>
          </w:rPr>
          <w:t>0058372-64.2016.8.13.0479 (2), </w:t>
        </w:r>
      </w:hyperlink>
      <w:r>
        <w:rPr>
          <w:rFonts w:ascii="Calibri" w:hAnsi="Calibri" w:cs="Calibri"/>
          <w:color w:val="000000"/>
          <w:sz w:val="20"/>
          <w:szCs w:val="20"/>
        </w:rPr>
        <w:t xml:space="preserve">19ª CÂMARA CÍVEL, Rel. Des. Leite Praça, Julgado em 13/05/2021, publicado no </w:t>
      </w:r>
      <w:proofErr w:type="spellStart"/>
      <w:r>
        <w:rPr>
          <w:rFonts w:ascii="Calibri" w:hAnsi="Calibri" w:cs="Calibri"/>
          <w:color w:val="000000"/>
          <w:sz w:val="20"/>
          <w:szCs w:val="20"/>
        </w:rPr>
        <w:t>DJe</w:t>
      </w:r>
      <w:proofErr w:type="spellEnd"/>
      <w:r>
        <w:rPr>
          <w:rFonts w:ascii="Calibri" w:hAnsi="Calibri" w:cs="Calibri"/>
          <w:color w:val="000000"/>
          <w:sz w:val="20"/>
          <w:szCs w:val="20"/>
        </w:rPr>
        <w:t xml:space="preserve"> em 18/05/2021)</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Com efeito, quando o contribuinte submetido à sistemática do Simples Nacional revende uma mercadoria, ele pode fazer o destaque do ICMS na nota fiscal aplicando a alíquota efetiva a que está sujeito, com base na receita bruta acumulada dos últimos 12 meses. Sendo assim, o repasse do ônus do tributo ao adquirente da mercadoria é plenamente possível, ainda que o contribuinte seja optante pelo regime diferenciado de tributação.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lastRenderedPageBreak/>
        <w:t>Quanto à necessidade de retificação do PGDAS como condição prévia para o pedido de restituição, é necessário observarmos o que prescreve a Resolução nº 140/2018 do Comitê Gestor do Simples Nacional.</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Segundo o §5º do art. 39 da referida resolução, a retificação do PGDAS deve ocorrer no prazo de 5 anos, a contar do primeiro dia do exercício seguinte ao da declaração: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39. A alteração das informações prestadas no PGDAS-D será efetuada por meio de retificação relativa ao respectivo período de apuração. (Lei Complementar nº 123, de 2006, art. 2º, inciso I e § 6º)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1º A retificação terá a mesma natureza da declaração originariamente apresentada, substituindo-a integralmente, e servirá para declarar novos débitos, e aumentar ou reduzir os valores de débitos já informados. (Lei Complementar nº 123, de 2006, art. 2º, inciso I e § 6º)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2º A retificação não produzirá efeitos quando tiver por objeto reduzir débitos relativos aos períodos de apuração: (Lei Complementar nº 123, de 2006, art. 2º, inciso I e § 6º)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xml:space="preserve">I - </w:t>
      </w:r>
      <w:proofErr w:type="gramStart"/>
      <w:r>
        <w:rPr>
          <w:rFonts w:ascii="Calibri" w:hAnsi="Calibri" w:cs="Calibri"/>
          <w:color w:val="000000"/>
          <w:sz w:val="20"/>
          <w:szCs w:val="20"/>
        </w:rPr>
        <w:t>cujos</w:t>
      </w:r>
      <w:proofErr w:type="gramEnd"/>
      <w:r>
        <w:rPr>
          <w:rFonts w:ascii="Calibri" w:hAnsi="Calibri" w:cs="Calibri"/>
          <w:color w:val="000000"/>
          <w:sz w:val="20"/>
          <w:szCs w:val="20"/>
        </w:rPr>
        <w:t xml:space="preserve"> saldos a pagar tenham sido objeto de pedido de parcelamento deferido ou já tenham sido enviados à Procuradoria-Geral da Fazenda Nacional (PGFN) para inscrição em Dívida Ativa da União (DAU), ou, com relação ao ICMS ou ao ISS, transferidos ao Estado ou Município que tenha efetuado o convênio previsto no art. 139; ou</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3º Na hipótese prevista no inciso I do § 2º, o ajuste dos valores dos débitos decorrentes da retificação no PGDAS-D, nos sistemas de cobrança pertinentes, poderá ser efetuado: (Lei Complementar nº 123, de 2006, art. 2º, inciso I e § 6º)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xml:space="preserve">I - </w:t>
      </w:r>
      <w:proofErr w:type="gramStart"/>
      <w:r>
        <w:rPr>
          <w:rFonts w:ascii="Calibri" w:hAnsi="Calibri" w:cs="Calibri"/>
          <w:color w:val="000000"/>
          <w:sz w:val="20"/>
          <w:szCs w:val="20"/>
        </w:rPr>
        <w:t>pelo</w:t>
      </w:r>
      <w:proofErr w:type="gramEnd"/>
      <w:r>
        <w:rPr>
          <w:rFonts w:ascii="Calibri" w:hAnsi="Calibri" w:cs="Calibri"/>
          <w:color w:val="000000"/>
          <w:sz w:val="20"/>
          <w:szCs w:val="20"/>
        </w:rPr>
        <w:t xml:space="preserve"> Estado ou Município, com relação ao ICMS ou ISS, quando firmado o convênio previsto no art. 139 e os débitos já tiverem sido transferidos;</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xml:space="preserve">II - </w:t>
      </w:r>
      <w:proofErr w:type="gramStart"/>
      <w:r>
        <w:rPr>
          <w:rFonts w:ascii="Calibri" w:hAnsi="Calibri" w:cs="Calibri"/>
          <w:color w:val="000000"/>
          <w:sz w:val="20"/>
          <w:szCs w:val="20"/>
        </w:rPr>
        <w:t>pela</w:t>
      </w:r>
      <w:proofErr w:type="gramEnd"/>
      <w:r>
        <w:rPr>
          <w:rFonts w:ascii="Calibri" w:hAnsi="Calibri" w:cs="Calibri"/>
          <w:color w:val="000000"/>
          <w:sz w:val="20"/>
          <w:szCs w:val="20"/>
        </w:rPr>
        <w:t xml:space="preserve"> RFB, nos demais casos.</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4º O ajuste a que se refere o § 3º dependerá de prova inequívoca da ocorrência de erro de fato no preenchimento da declaração. (Lei Complementar nº 123, de 2006, art. 2º, inciso I e § 6º; Lei nº 5.172, de 1966, art. 147, § 1º)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5º O direito de a ME ou EPP retificar as informações prestadas no PGDAS-D extingue-se em 5 (cinco) anos contados a partir do 1º (primeiro) dia do exercício seguinte àquele ao qual se refere a declaração. (Lei Complementar nº 123, de 2006, art. 2º, inciso I e § 6º)</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6º Não se considera espontânea e não produzirá efeitos a declaração entregue após a data da ciência de início de procedimento fiscal relativo às informações declaradas ou retificadas. (Lei nº 5.172, de 1966, art. 138, parágrafo único) </w:t>
      </w:r>
      <w:hyperlink r:id="rId14" w:anchor="1995522" w:tgtFrame="_blank" w:history="1">
        <w:r>
          <w:rPr>
            <w:rStyle w:val="Hyperlink"/>
            <w:rFonts w:ascii="Calibri" w:hAnsi="Calibri" w:cs="Calibri"/>
            <w:sz w:val="20"/>
            <w:szCs w:val="20"/>
          </w:rPr>
          <w:t>(Incluído(a) pelo(a) Resolução CGSN nº 145, de 11 de junho de 2019)</w:t>
        </w:r>
      </w:hyperlink>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A restituição dos valores equivocadamente pagos a título de ICMS segue o procedimento previsto nos </w:t>
      </w:r>
      <w:proofErr w:type="spellStart"/>
      <w:r>
        <w:rPr>
          <w:rFonts w:ascii="Calibri" w:hAnsi="Calibri" w:cs="Calibri"/>
          <w:color w:val="000000"/>
          <w:sz w:val="27"/>
          <w:szCs w:val="27"/>
        </w:rPr>
        <w:t>arts</w:t>
      </w:r>
      <w:proofErr w:type="spellEnd"/>
      <w:r>
        <w:rPr>
          <w:rFonts w:ascii="Calibri" w:hAnsi="Calibri" w:cs="Calibri"/>
          <w:color w:val="000000"/>
          <w:sz w:val="27"/>
          <w:szCs w:val="27"/>
        </w:rPr>
        <w:t>. 128 a 130 da Resolução: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128. A restituição e a compensação de tributos arrecadados no âmbito do Simples Nacional serão realizadas de acordo com o disposto neste Capítulo.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lastRenderedPageBreak/>
        <w:t>§1º Entende-se como restituição, a repetição de indébito decorrente de valores pagos indevidamente ou a maior pelo contribuinte, por meio do DAS.</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§2º Entende-se como compensação, a utilização dos valores passíveis de restituição para pagamento de débitos no âmbito do Simples Nacional.</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129. Em caso de apuração de crédito decorrente de pagamento indevido ou em valor maior que o devido, a ME ou a EPP poderá requerer sua restituição.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Art. 130. O pedido de restituição de tributos abrangidos pelo Simples Nacional deverá ser apresentado pela ME ou pela EPP optante diretamente ao ente federado responsável pelo tributo do qual originou o crédito.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1º Ao receber o pedido a que se refere o caput o ente federado:</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xml:space="preserve">I - </w:t>
      </w:r>
      <w:proofErr w:type="gramStart"/>
      <w:r>
        <w:rPr>
          <w:rFonts w:ascii="Calibri" w:hAnsi="Calibri" w:cs="Calibri"/>
          <w:color w:val="000000"/>
          <w:sz w:val="20"/>
          <w:szCs w:val="20"/>
        </w:rPr>
        <w:t>verificará</w:t>
      </w:r>
      <w:proofErr w:type="gramEnd"/>
      <w:r>
        <w:rPr>
          <w:rFonts w:ascii="Calibri" w:hAnsi="Calibri" w:cs="Calibri"/>
          <w:color w:val="000000"/>
          <w:sz w:val="20"/>
          <w:szCs w:val="20"/>
        </w:rPr>
        <w:t xml:space="preserve"> a existência do crédito a ser restituído, mediante consulta às informações constantes nos aplicativos disponíveis no Portal do Simples Nacional; e</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xml:space="preserve">II - </w:t>
      </w:r>
      <w:proofErr w:type="gramStart"/>
      <w:r>
        <w:rPr>
          <w:rFonts w:ascii="Calibri" w:hAnsi="Calibri" w:cs="Calibri"/>
          <w:color w:val="000000"/>
          <w:sz w:val="20"/>
          <w:szCs w:val="20"/>
        </w:rPr>
        <w:t>registrará</w:t>
      </w:r>
      <w:proofErr w:type="gramEnd"/>
      <w:r>
        <w:rPr>
          <w:rFonts w:ascii="Calibri" w:hAnsi="Calibri" w:cs="Calibri"/>
          <w:color w:val="000000"/>
          <w:sz w:val="20"/>
          <w:szCs w:val="20"/>
        </w:rPr>
        <w:t xml:space="preserve"> os dados referentes ao pedido de restituição processada no aplicativo específico do Simples Nacional, a fim de impedir o registro de novos pedidos de restituição ou de compensação do mesmo valor.</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2º A restituição será realizada em conformidade com o disposto nas normas estabelecidas pela legislação de cada ente federado, observados os prazos de decadência e prescrição previstos no CTN.</w:t>
      </w:r>
    </w:p>
    <w:p w:rsidR="003C4237" w:rsidRDefault="003C4237" w:rsidP="003C4237">
      <w:pPr>
        <w:pStyle w:val="textocitao"/>
        <w:spacing w:before="80" w:beforeAutospacing="0" w:after="80" w:afterAutospacing="0"/>
        <w:ind w:left="2400"/>
        <w:jc w:val="both"/>
        <w:rPr>
          <w:rFonts w:ascii="Calibri" w:hAnsi="Calibri" w:cs="Calibri"/>
          <w:color w:val="000000"/>
          <w:sz w:val="20"/>
          <w:szCs w:val="20"/>
        </w:rPr>
      </w:pPr>
      <w:r>
        <w:rPr>
          <w:rFonts w:ascii="Calibri" w:hAnsi="Calibri" w:cs="Calibri"/>
          <w:color w:val="000000"/>
          <w:sz w:val="20"/>
          <w:szCs w:val="20"/>
        </w:rPr>
        <w:t>§ 3º Os créditos a serem restituídos no âmbito do Simples Nacional poderão ser objeto de compensação de ofício com débitos perante a Fazenda Pública do próprio ente.</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Como se trata de restituição de ICMS, o contribuinte deverá observar também o disposto no RCTE/GO, notadamente o disposto nos </w:t>
      </w:r>
      <w:proofErr w:type="spellStart"/>
      <w:r>
        <w:rPr>
          <w:rFonts w:ascii="Calibri" w:hAnsi="Calibri" w:cs="Calibri"/>
          <w:color w:val="000000"/>
          <w:sz w:val="27"/>
          <w:szCs w:val="27"/>
        </w:rPr>
        <w:t>arts</w:t>
      </w:r>
      <w:proofErr w:type="spellEnd"/>
      <w:r>
        <w:rPr>
          <w:rFonts w:ascii="Calibri" w:hAnsi="Calibri" w:cs="Calibri"/>
          <w:color w:val="000000"/>
          <w:sz w:val="27"/>
          <w:szCs w:val="27"/>
        </w:rPr>
        <w:t>. 486 a 492. O pedido de restituição deve ser dirigido à Administração Tributária segundo formulários próprios disponíveis no site https://www.go.gov.br/servicos/servico/solicitar-restituicao-de-icms-pago-indevido.</w:t>
      </w:r>
    </w:p>
    <w:p w:rsidR="003C4237" w:rsidRDefault="003C4237" w:rsidP="003C4237">
      <w:pPr>
        <w:pStyle w:val="itemnivel1"/>
        <w:shd w:val="clear" w:color="auto" w:fill="E6E6E6"/>
        <w:spacing w:before="120" w:beforeAutospacing="0" w:after="120" w:afterAutospacing="0"/>
        <w:ind w:left="120" w:right="120"/>
        <w:jc w:val="both"/>
        <w:rPr>
          <w:rFonts w:ascii="Calibri" w:hAnsi="Calibri" w:cs="Calibri"/>
          <w:b/>
          <w:bCs/>
          <w:caps/>
          <w:color w:val="000000"/>
          <w:sz w:val="27"/>
          <w:szCs w:val="27"/>
        </w:rPr>
      </w:pPr>
      <w:r>
        <w:rPr>
          <w:rStyle w:val="Forte"/>
          <w:rFonts w:ascii="Calibri" w:hAnsi="Calibri" w:cs="Calibri"/>
          <w:caps/>
          <w:color w:val="000000"/>
          <w:sz w:val="27"/>
          <w:szCs w:val="27"/>
        </w:rPr>
        <w:t>CONCLUSÃO:</w:t>
      </w:r>
    </w:p>
    <w:p w:rsidR="003C4237" w:rsidRDefault="003C4237" w:rsidP="003C4237">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À luz da legislação vigente, conclui-se que a isenção prevista no inciso CXXII do art. 6º do Anexo IX do RCTE, concedida às empresas fabricantes de vestuário optantes pelo Simples Nacional, opera como benefício fiscal de natureza declaratória, impedindo a constituição do crédito tributário, embora o fato gerador ocorra. Assim, eventual crédito decorrente da operação isenta possui existência apenas virtual, de modo que os valores recolhidos após a vigência do benefício constituem pagamento indevido.</w:t>
      </w:r>
    </w:p>
    <w:p w:rsidR="003C4237" w:rsidRDefault="003C4237" w:rsidP="003C4237">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No caso da consulente, considerando tratar-se de isenção concedida em caráter geral, não se impõe o requerimento prévio para a efetivação do benefício. Contudo, para a restituição dos valores pagos a título de ICMS é imprescindível que o contribuinte demonstre que atende aos requisitos do art. 166 do CTN, vale dizer, deve comprovar que o mesmo arcou com o referido encargo ou, caso contrário, que tenha sido autorizado </w:t>
      </w:r>
      <w:r>
        <w:rPr>
          <w:rFonts w:ascii="Calibri" w:hAnsi="Calibri" w:cs="Calibri"/>
          <w:color w:val="000000"/>
          <w:sz w:val="27"/>
          <w:szCs w:val="27"/>
        </w:rPr>
        <w:lastRenderedPageBreak/>
        <w:t>expressamente pelo terceiro a quem o ônus tenha sido transferido, e que proceda à retificação do PGDAS, nos termos da Resolução nº 140/2018 do CGSN, no prazo de 5 anos a contar do primeiro dia do exercício subsequente à declaração. Essa retificação deverá refletir a situação fática, de forma a comprovar que os créditos tributários não se constituíram em decorrência da isenção.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Por fim, o pedido de restituição deverá ser encaminhado à Administração Tributária, mediante o uso dos formulários específicos disponibilizados no portal do Governo do Estado de Goiás, observando-se os prazos decadencial e prescricional previstos na legislação tributária. Dessa forma, a empresa poderá pleitear a repetição do indébito, com base na comprovação dos pagamentos indevidos realizados após a instituição da isenção.</w:t>
      </w:r>
    </w:p>
    <w:p w:rsidR="003C4237" w:rsidRDefault="003C4237" w:rsidP="003C4237">
      <w:pPr>
        <w:pStyle w:val="textojustificadorecuoprimeiralinhaesp15"/>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É o parecer.</w:t>
      </w:r>
    </w:p>
    <w:p w:rsidR="003C4237" w:rsidRDefault="003C4237" w:rsidP="003C4237">
      <w:pPr>
        <w:pStyle w:val="NormalWeb"/>
        <w:spacing w:before="0" w:beforeAutospacing="0" w:after="0" w:afterAutospacing="0"/>
        <w:jc w:val="both"/>
        <w:rPr>
          <w:color w:val="000000"/>
          <w:sz w:val="27"/>
          <w:szCs w:val="27"/>
        </w:rPr>
      </w:pPr>
      <w:r>
        <w:rPr>
          <w:color w:val="000000"/>
          <w:sz w:val="27"/>
          <w:szCs w:val="27"/>
        </w:rPr>
        <w:t> </w:t>
      </w:r>
    </w:p>
    <w:p w:rsidR="003C4237" w:rsidRDefault="003C4237" w:rsidP="003C4237">
      <w:pPr>
        <w:pStyle w:val="textoalinhadodireita"/>
        <w:spacing w:before="120" w:beforeAutospacing="0" w:after="120" w:afterAutospacing="0"/>
        <w:ind w:left="120" w:right="120"/>
        <w:jc w:val="right"/>
        <w:rPr>
          <w:rFonts w:ascii="Calibri" w:hAnsi="Calibri" w:cs="Calibri"/>
          <w:color w:val="000000"/>
          <w:sz w:val="27"/>
          <w:szCs w:val="27"/>
        </w:rPr>
      </w:pPr>
      <w:r>
        <w:rPr>
          <w:rFonts w:ascii="Calibri" w:hAnsi="Calibri" w:cs="Calibri"/>
          <w:color w:val="000000"/>
          <w:sz w:val="27"/>
          <w:szCs w:val="27"/>
        </w:rPr>
        <w:t> GOIANIA, 02 de abril de 2025.</w:t>
      </w:r>
    </w:p>
    <w:p w:rsidR="003C4237" w:rsidRDefault="003C4237" w:rsidP="003C4237">
      <w:pPr>
        <w:pStyle w:val="textoalinhadodireita"/>
        <w:spacing w:before="120" w:beforeAutospacing="0" w:after="120" w:afterAutospacing="0"/>
        <w:ind w:left="120" w:right="120"/>
        <w:jc w:val="right"/>
        <w:rPr>
          <w:rFonts w:ascii="Calibri" w:hAnsi="Calibri" w:cs="Calibri"/>
          <w:color w:val="000000"/>
          <w:sz w:val="27"/>
          <w:szCs w:val="27"/>
        </w:rPr>
      </w:pPr>
      <w:r>
        <w:rPr>
          <w:rFonts w:ascii="Calibri" w:hAnsi="Calibri" w:cs="Calibri"/>
          <w:color w:val="000000"/>
          <w:sz w:val="27"/>
          <w:szCs w:val="27"/>
        </w:rPr>
        <w:t> </w:t>
      </w:r>
    </w:p>
    <w:p w:rsidR="003C4237" w:rsidRDefault="003C4237" w:rsidP="003C4237">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HELVECIO VIEIRA DA CUNHA JUNIOR</w:t>
      </w:r>
    </w:p>
    <w:p w:rsidR="003C4237" w:rsidRDefault="003C4237" w:rsidP="003C4237">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Auditor Fiscal da Receita Estadual</w:t>
      </w:r>
    </w:p>
    <w:p w:rsidR="003C4237" w:rsidRDefault="003C4237" w:rsidP="003C4237">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 </w:t>
      </w:r>
    </w:p>
    <w:p w:rsidR="003C4237" w:rsidRDefault="001C12F7" w:rsidP="003C4237">
      <w:pPr>
        <w:spacing w:after="60"/>
        <w:rPr>
          <w:rFonts w:ascii="Times New Roman" w:hAnsi="Times New Roman" w:cs="Times New Roman"/>
          <w:color w:val="000000"/>
          <w:sz w:val="27"/>
          <w:szCs w:val="27"/>
        </w:rPr>
      </w:pPr>
      <w:r>
        <w:rPr>
          <w:color w:val="000000"/>
          <w:sz w:val="27"/>
          <w:szCs w:val="27"/>
        </w:rPr>
        <w:pict>
          <v:rect id="_x0000_i102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423"/>
      </w:tblGrid>
      <w:tr w:rsidR="003C4237" w:rsidTr="003C4237">
        <w:trPr>
          <w:tblCellSpacing w:w="15" w:type="dxa"/>
        </w:trPr>
        <w:tc>
          <w:tcPr>
            <w:tcW w:w="0" w:type="auto"/>
            <w:vAlign w:val="center"/>
            <w:hideMark/>
          </w:tcPr>
          <w:p w:rsidR="003C4237" w:rsidRDefault="003C4237">
            <w:pPr>
              <w:spacing w:after="0"/>
              <w:rPr>
                <w:sz w:val="24"/>
                <w:szCs w:val="24"/>
              </w:rPr>
            </w:pPr>
          </w:p>
        </w:tc>
        <w:tc>
          <w:tcPr>
            <w:tcW w:w="0" w:type="auto"/>
            <w:vAlign w:val="center"/>
            <w:hideMark/>
          </w:tcPr>
          <w:p w:rsidR="003C4237" w:rsidRDefault="003C4237">
            <w:pPr>
              <w:pStyle w:val="NormalWeb"/>
              <w:spacing w:before="0" w:beforeAutospacing="0" w:after="0" w:afterAutospacing="0"/>
              <w:rPr>
                <w:sz w:val="22"/>
                <w:szCs w:val="22"/>
              </w:rPr>
            </w:pPr>
            <w:r>
              <w:rPr>
                <w:sz w:val="22"/>
                <w:szCs w:val="22"/>
              </w:rPr>
              <w:t>Documento assinado eletronicamente por </w:t>
            </w:r>
            <w:r>
              <w:rPr>
                <w:b/>
                <w:bCs/>
                <w:sz w:val="22"/>
                <w:szCs w:val="22"/>
              </w:rPr>
              <w:t>DENILSON ALVES EVANGELISTA</w:t>
            </w:r>
            <w:r>
              <w:rPr>
                <w:sz w:val="22"/>
                <w:szCs w:val="22"/>
              </w:rPr>
              <w:t>, </w:t>
            </w:r>
            <w:r>
              <w:rPr>
                <w:b/>
                <w:bCs/>
                <w:sz w:val="22"/>
                <w:szCs w:val="22"/>
              </w:rPr>
              <w:t>Gerente</w:t>
            </w:r>
            <w:r>
              <w:rPr>
                <w:sz w:val="22"/>
                <w:szCs w:val="22"/>
              </w:rPr>
              <w:t>, em 07/04/2025, às 19:31, conforme art. 2º, § 2º, III, "b", da Lei 17.039/2010 e art. 3ºB, I, do Decreto nº 8.808/2016.</w:t>
            </w:r>
          </w:p>
        </w:tc>
      </w:tr>
    </w:tbl>
    <w:p w:rsidR="003C4237" w:rsidRDefault="001C12F7" w:rsidP="003C4237">
      <w:pPr>
        <w:spacing w:after="60"/>
        <w:rPr>
          <w:color w:val="000000"/>
          <w:sz w:val="27"/>
          <w:szCs w:val="27"/>
        </w:rPr>
      </w:pPr>
      <w:r>
        <w:rPr>
          <w:color w:val="000000"/>
          <w:sz w:val="27"/>
          <w:szCs w:val="27"/>
        </w:rPr>
        <w:pict>
          <v:rect id="_x0000_i102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423"/>
      </w:tblGrid>
      <w:tr w:rsidR="003C4237" w:rsidTr="003C4237">
        <w:trPr>
          <w:tblCellSpacing w:w="15" w:type="dxa"/>
        </w:trPr>
        <w:tc>
          <w:tcPr>
            <w:tcW w:w="0" w:type="auto"/>
            <w:vAlign w:val="center"/>
            <w:hideMark/>
          </w:tcPr>
          <w:p w:rsidR="003C4237" w:rsidRDefault="003C4237">
            <w:pPr>
              <w:spacing w:after="0"/>
              <w:rPr>
                <w:sz w:val="24"/>
                <w:szCs w:val="24"/>
              </w:rPr>
            </w:pPr>
          </w:p>
        </w:tc>
        <w:tc>
          <w:tcPr>
            <w:tcW w:w="0" w:type="auto"/>
            <w:vAlign w:val="center"/>
            <w:hideMark/>
          </w:tcPr>
          <w:p w:rsidR="003C4237" w:rsidRDefault="003C4237">
            <w:pPr>
              <w:pStyle w:val="NormalWeb"/>
              <w:spacing w:before="0" w:beforeAutospacing="0" w:after="0" w:afterAutospacing="0"/>
              <w:rPr>
                <w:sz w:val="22"/>
                <w:szCs w:val="22"/>
              </w:rPr>
            </w:pPr>
            <w:r>
              <w:rPr>
                <w:sz w:val="22"/>
                <w:szCs w:val="22"/>
              </w:rPr>
              <w:t>Documento assinado eletronicamente por </w:t>
            </w:r>
            <w:r>
              <w:rPr>
                <w:b/>
                <w:bCs/>
                <w:sz w:val="22"/>
                <w:szCs w:val="22"/>
              </w:rPr>
              <w:t>HELVECIO VIEIRA DA CUNHA JUNIOR</w:t>
            </w:r>
            <w:r>
              <w:rPr>
                <w:sz w:val="22"/>
                <w:szCs w:val="22"/>
              </w:rPr>
              <w:t>, </w:t>
            </w:r>
            <w:r>
              <w:rPr>
                <w:b/>
                <w:bCs/>
                <w:sz w:val="22"/>
                <w:szCs w:val="22"/>
              </w:rPr>
              <w:t>Auditor (a) Fiscal da Receita Estadual</w:t>
            </w:r>
            <w:r>
              <w:rPr>
                <w:sz w:val="22"/>
                <w:szCs w:val="22"/>
              </w:rPr>
              <w:t>, em 08/04/2025, às 20:16, conforme art. 2º, § 2º, III, "b", da Lei 17.039/2010 e art. 3ºB, I, do Decreto nº 8.808/2016.</w:t>
            </w:r>
          </w:p>
        </w:tc>
      </w:tr>
    </w:tbl>
    <w:p w:rsidR="003C4237" w:rsidRDefault="001C12F7" w:rsidP="003C4237">
      <w:pPr>
        <w:spacing w:after="60"/>
        <w:rPr>
          <w:color w:val="000000"/>
          <w:sz w:val="27"/>
          <w:szCs w:val="27"/>
        </w:rPr>
      </w:pPr>
      <w:r>
        <w:rPr>
          <w:color w:val="000000"/>
          <w:sz w:val="27"/>
          <w:szCs w:val="27"/>
        </w:rPr>
        <w:pict>
          <v:rect id="_x0000_i1027"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
        <w:gridCol w:w="8425"/>
      </w:tblGrid>
      <w:tr w:rsidR="003C4237" w:rsidTr="003C4237">
        <w:trPr>
          <w:tblCellSpacing w:w="15" w:type="dxa"/>
        </w:trPr>
        <w:tc>
          <w:tcPr>
            <w:tcW w:w="0" w:type="auto"/>
            <w:vAlign w:val="center"/>
            <w:hideMark/>
          </w:tcPr>
          <w:p w:rsidR="003C4237" w:rsidRDefault="003C4237">
            <w:pPr>
              <w:spacing w:after="0"/>
              <w:rPr>
                <w:sz w:val="24"/>
                <w:szCs w:val="24"/>
              </w:rPr>
            </w:pPr>
          </w:p>
        </w:tc>
        <w:tc>
          <w:tcPr>
            <w:tcW w:w="0" w:type="auto"/>
            <w:vAlign w:val="center"/>
            <w:hideMark/>
          </w:tcPr>
          <w:p w:rsidR="003C4237" w:rsidRDefault="003C4237">
            <w:pPr>
              <w:pStyle w:val="NormalWeb"/>
              <w:spacing w:before="0" w:beforeAutospacing="0" w:after="0" w:afterAutospacing="0"/>
              <w:rPr>
                <w:sz w:val="22"/>
                <w:szCs w:val="22"/>
              </w:rPr>
            </w:pPr>
            <w:r>
              <w:rPr>
                <w:sz w:val="22"/>
                <w:szCs w:val="22"/>
              </w:rPr>
              <w:t>A autenticidade do documento pode ser conferida no site </w:t>
            </w:r>
            <w:hyperlink r:id="rId15" w:tgtFrame="_blank" w:history="1">
              <w:r>
                <w:rPr>
                  <w:rStyle w:val="Hyperlink"/>
                  <w:b/>
                  <w:bCs/>
                  <w:color w:val="000000"/>
                  <w:sz w:val="22"/>
                  <w:szCs w:val="22"/>
                  <w:u w:val="none"/>
                </w:rPr>
                <w:t>http://sei.go.gov.br/sei/controlador_externo.php?acao=documento_conferir&amp;id_orgao_acesso_externo=1</w:t>
              </w:r>
            </w:hyperlink>
            <w:r>
              <w:rPr>
                <w:sz w:val="22"/>
                <w:szCs w:val="22"/>
              </w:rPr>
              <w:t> informando o código verificador </w:t>
            </w:r>
            <w:r>
              <w:rPr>
                <w:b/>
                <w:bCs/>
                <w:sz w:val="22"/>
                <w:szCs w:val="22"/>
              </w:rPr>
              <w:t>72743080</w:t>
            </w:r>
            <w:r>
              <w:rPr>
                <w:sz w:val="22"/>
                <w:szCs w:val="22"/>
              </w:rPr>
              <w:t> e o código CRC </w:t>
            </w:r>
            <w:r>
              <w:rPr>
                <w:b/>
                <w:bCs/>
                <w:sz w:val="22"/>
                <w:szCs w:val="22"/>
              </w:rPr>
              <w:t>0E2C1226</w:t>
            </w:r>
            <w:r>
              <w:rPr>
                <w:sz w:val="22"/>
                <w:szCs w:val="22"/>
              </w:rPr>
              <w:t>.</w:t>
            </w:r>
          </w:p>
        </w:tc>
      </w:tr>
    </w:tbl>
    <w:p w:rsidR="003C4237" w:rsidRDefault="001C12F7" w:rsidP="003C4237">
      <w:pPr>
        <w:spacing w:before="15" w:after="15"/>
        <w:rPr>
          <w:color w:val="000000"/>
          <w:sz w:val="27"/>
          <w:szCs w:val="27"/>
        </w:rPr>
      </w:pPr>
      <w:r>
        <w:rPr>
          <w:color w:val="000000"/>
          <w:sz w:val="27"/>
          <w:szCs w:val="27"/>
        </w:rPr>
        <w:pict>
          <v:rect id="_x0000_i1028" style="width:0;height:1.5pt" o:hralign="center" o:hrstd="t" o:hr="t" fillcolor="#a0a0a0" stroked="f"/>
        </w:pict>
      </w:r>
    </w:p>
    <w:p w:rsidR="003C4237" w:rsidRDefault="003C4237" w:rsidP="003C4237">
      <w:pPr>
        <w:spacing w:before="15" w:after="15"/>
        <w:rPr>
          <w:color w:val="000000"/>
          <w:sz w:val="27"/>
          <w:szCs w:val="27"/>
        </w:rPr>
      </w:pPr>
    </w:p>
    <w:p w:rsidR="008C7F8A" w:rsidRDefault="008C7F8A" w:rsidP="003C4237">
      <w:pPr>
        <w:pStyle w:val="textoalinhadoesquerda"/>
        <w:spacing w:before="120" w:beforeAutospacing="0" w:after="120" w:afterAutospacing="0"/>
        <w:ind w:left="120" w:right="120"/>
        <w:rPr>
          <w:color w:val="000000"/>
          <w:sz w:val="27"/>
          <w:szCs w:val="27"/>
        </w:rPr>
      </w:pPr>
    </w:p>
    <w:sectPr w:rsidR="008C7F8A" w:rsidSect="007D1C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5F3338"/>
    <w:multiLevelType w:val="multilevel"/>
    <w:tmpl w:val="49DE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233"/>
    <w:rsid w:val="00023510"/>
    <w:rsid w:val="000451D8"/>
    <w:rsid w:val="000847B1"/>
    <w:rsid w:val="000F25B1"/>
    <w:rsid w:val="001037C7"/>
    <w:rsid w:val="00143B5C"/>
    <w:rsid w:val="00186EEE"/>
    <w:rsid w:val="001901EF"/>
    <w:rsid w:val="0019120A"/>
    <w:rsid w:val="001B4135"/>
    <w:rsid w:val="001C12F7"/>
    <w:rsid w:val="00216110"/>
    <w:rsid w:val="00217C25"/>
    <w:rsid w:val="00232A27"/>
    <w:rsid w:val="00245EAC"/>
    <w:rsid w:val="002A3E2E"/>
    <w:rsid w:val="002A47A2"/>
    <w:rsid w:val="002B5A26"/>
    <w:rsid w:val="00303F59"/>
    <w:rsid w:val="00322396"/>
    <w:rsid w:val="00326777"/>
    <w:rsid w:val="0036333D"/>
    <w:rsid w:val="003C4237"/>
    <w:rsid w:val="003E1914"/>
    <w:rsid w:val="003F2BB7"/>
    <w:rsid w:val="0040005E"/>
    <w:rsid w:val="004253C2"/>
    <w:rsid w:val="004409FA"/>
    <w:rsid w:val="00474B85"/>
    <w:rsid w:val="004B532A"/>
    <w:rsid w:val="00500E53"/>
    <w:rsid w:val="00532E16"/>
    <w:rsid w:val="005755F8"/>
    <w:rsid w:val="005836C8"/>
    <w:rsid w:val="00583D4C"/>
    <w:rsid w:val="00640582"/>
    <w:rsid w:val="0067667C"/>
    <w:rsid w:val="006B4498"/>
    <w:rsid w:val="006C420B"/>
    <w:rsid w:val="00715D62"/>
    <w:rsid w:val="0077034F"/>
    <w:rsid w:val="00774180"/>
    <w:rsid w:val="00776932"/>
    <w:rsid w:val="0078776F"/>
    <w:rsid w:val="007B0476"/>
    <w:rsid w:val="007C0337"/>
    <w:rsid w:val="007D04F4"/>
    <w:rsid w:val="007D1C29"/>
    <w:rsid w:val="007D6535"/>
    <w:rsid w:val="00817190"/>
    <w:rsid w:val="008571C3"/>
    <w:rsid w:val="008C4227"/>
    <w:rsid w:val="008C7F8A"/>
    <w:rsid w:val="008D586A"/>
    <w:rsid w:val="00984759"/>
    <w:rsid w:val="00985F80"/>
    <w:rsid w:val="009B156A"/>
    <w:rsid w:val="00A05742"/>
    <w:rsid w:val="00A246F8"/>
    <w:rsid w:val="00A54AF5"/>
    <w:rsid w:val="00A92709"/>
    <w:rsid w:val="00A960C0"/>
    <w:rsid w:val="00B266AD"/>
    <w:rsid w:val="00B45EC3"/>
    <w:rsid w:val="00B47280"/>
    <w:rsid w:val="00B52704"/>
    <w:rsid w:val="00BA5697"/>
    <w:rsid w:val="00BD0D2C"/>
    <w:rsid w:val="00C667D8"/>
    <w:rsid w:val="00CA403E"/>
    <w:rsid w:val="00D32233"/>
    <w:rsid w:val="00D522C3"/>
    <w:rsid w:val="00DA6BBA"/>
    <w:rsid w:val="00DD59A0"/>
    <w:rsid w:val="00DE2141"/>
    <w:rsid w:val="00DE2DEC"/>
    <w:rsid w:val="00DF4614"/>
    <w:rsid w:val="00E02D0D"/>
    <w:rsid w:val="00E34F30"/>
    <w:rsid w:val="00E46212"/>
    <w:rsid w:val="00F11C83"/>
    <w:rsid w:val="00F3538A"/>
    <w:rsid w:val="00F90E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E16D"/>
  <w15:docId w15:val="{6039E211-B211-4D93-BFA3-7974F318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before="100" w:beforeAutospacing="1" w:after="100" w:afterAutospacing="1"/>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C2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alinhadoesquerda">
    <w:name w:val="texto_alinhado_esquerda"/>
    <w:basedOn w:val="Normal"/>
    <w:rsid w:val="00D32233"/>
    <w:pPr>
      <w:jc w:val="left"/>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D32233"/>
    <w:pPr>
      <w:jc w:val="left"/>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32233"/>
    <w:pPr>
      <w:jc w:val="left"/>
    </w:pPr>
    <w:rPr>
      <w:rFonts w:ascii="Times New Roman" w:eastAsia="Times New Roman" w:hAnsi="Times New Roman" w:cs="Times New Roman"/>
      <w:sz w:val="24"/>
      <w:szCs w:val="24"/>
      <w:lang w:eastAsia="pt-BR"/>
    </w:rPr>
  </w:style>
  <w:style w:type="paragraph" w:customStyle="1" w:styleId="textojustificadorecuoprimeiralinhaesp15">
    <w:name w:val="texto_justificado_recuo_primeira_linha_esp15"/>
    <w:basedOn w:val="Normal"/>
    <w:rsid w:val="00D32233"/>
    <w:pPr>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32233"/>
    <w:rPr>
      <w:b/>
      <w:bCs/>
    </w:rPr>
  </w:style>
  <w:style w:type="character" w:styleId="nfase">
    <w:name w:val="Emphasis"/>
    <w:basedOn w:val="Fontepargpadro"/>
    <w:uiPriority w:val="20"/>
    <w:qFormat/>
    <w:rsid w:val="00D32233"/>
    <w:rPr>
      <w:i/>
      <w:iCs/>
    </w:rPr>
  </w:style>
  <w:style w:type="character" w:styleId="Hyperlink">
    <w:name w:val="Hyperlink"/>
    <w:basedOn w:val="Fontepargpadro"/>
    <w:uiPriority w:val="99"/>
    <w:semiHidden/>
    <w:unhideWhenUsed/>
    <w:rsid w:val="00D32233"/>
    <w:rPr>
      <w:color w:val="0000FF"/>
      <w:u w:val="single"/>
    </w:rPr>
  </w:style>
  <w:style w:type="paragraph" w:customStyle="1" w:styleId="textocitao">
    <w:name w:val="texto_citação"/>
    <w:basedOn w:val="Normal"/>
    <w:rsid w:val="00D32233"/>
    <w:pPr>
      <w:jc w:val="left"/>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D32233"/>
    <w:pPr>
      <w:jc w:val="left"/>
    </w:pPr>
    <w:rPr>
      <w:rFonts w:ascii="Times New Roman" w:eastAsia="Times New Roman" w:hAnsi="Times New Roman" w:cs="Times New Roman"/>
      <w:sz w:val="24"/>
      <w:szCs w:val="24"/>
      <w:lang w:eastAsia="pt-BR"/>
    </w:rPr>
  </w:style>
  <w:style w:type="paragraph" w:customStyle="1" w:styleId="itemnivel1">
    <w:name w:val="item_nivel1"/>
    <w:basedOn w:val="Normal"/>
    <w:rsid w:val="002B5A26"/>
    <w:pPr>
      <w:jc w:val="left"/>
    </w:pPr>
    <w:rPr>
      <w:rFonts w:ascii="Times New Roman" w:eastAsia="Times New Roman" w:hAnsi="Times New Roman" w:cs="Times New Roman"/>
      <w:sz w:val="24"/>
      <w:szCs w:val="24"/>
      <w:lang w:eastAsia="pt-BR"/>
    </w:rPr>
  </w:style>
  <w:style w:type="paragraph" w:customStyle="1" w:styleId="textojustificadorecuoprimeiralinhaespsimples">
    <w:name w:val="texto_justificado_recuo_primeira_linha_esp_simples"/>
    <w:basedOn w:val="Normal"/>
    <w:rsid w:val="002B5A26"/>
    <w:pPr>
      <w:jc w:val="left"/>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2B5A26"/>
    <w:pPr>
      <w:jc w:val="left"/>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4253C2"/>
    <w:pPr>
      <w:jc w:val="left"/>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A246F8"/>
    <w:pPr>
      <w:jc w:val="left"/>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A246F8"/>
    <w:pPr>
      <w:jc w:val="lef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7623">
      <w:bodyDiv w:val="1"/>
      <w:marLeft w:val="0"/>
      <w:marRight w:val="0"/>
      <w:marTop w:val="0"/>
      <w:marBottom w:val="0"/>
      <w:divBdr>
        <w:top w:val="none" w:sz="0" w:space="0" w:color="auto"/>
        <w:left w:val="none" w:sz="0" w:space="0" w:color="auto"/>
        <w:bottom w:val="none" w:sz="0" w:space="0" w:color="auto"/>
        <w:right w:val="none" w:sz="0" w:space="0" w:color="auto"/>
      </w:divBdr>
      <w:divsChild>
        <w:div w:id="1801534148">
          <w:marLeft w:val="0"/>
          <w:marRight w:val="0"/>
          <w:marTop w:val="0"/>
          <w:marBottom w:val="0"/>
          <w:divBdr>
            <w:top w:val="none" w:sz="0" w:space="0" w:color="auto"/>
            <w:left w:val="none" w:sz="0" w:space="0" w:color="auto"/>
            <w:bottom w:val="none" w:sz="0" w:space="0" w:color="auto"/>
            <w:right w:val="none" w:sz="0" w:space="0" w:color="auto"/>
          </w:divBdr>
        </w:div>
      </w:divsChild>
    </w:div>
    <w:div w:id="21365640">
      <w:bodyDiv w:val="1"/>
      <w:marLeft w:val="0"/>
      <w:marRight w:val="0"/>
      <w:marTop w:val="0"/>
      <w:marBottom w:val="0"/>
      <w:divBdr>
        <w:top w:val="none" w:sz="0" w:space="0" w:color="auto"/>
        <w:left w:val="none" w:sz="0" w:space="0" w:color="auto"/>
        <w:bottom w:val="none" w:sz="0" w:space="0" w:color="auto"/>
        <w:right w:val="none" w:sz="0" w:space="0" w:color="auto"/>
      </w:divBdr>
      <w:divsChild>
        <w:div w:id="324942652">
          <w:marLeft w:val="0"/>
          <w:marRight w:val="0"/>
          <w:marTop w:val="0"/>
          <w:marBottom w:val="0"/>
          <w:divBdr>
            <w:top w:val="none" w:sz="0" w:space="0" w:color="auto"/>
            <w:left w:val="none" w:sz="0" w:space="0" w:color="auto"/>
            <w:bottom w:val="none" w:sz="0" w:space="0" w:color="auto"/>
            <w:right w:val="none" w:sz="0" w:space="0" w:color="auto"/>
          </w:divBdr>
          <w:divsChild>
            <w:div w:id="861481394">
              <w:marLeft w:val="0"/>
              <w:marRight w:val="0"/>
              <w:marTop w:val="0"/>
              <w:marBottom w:val="0"/>
              <w:divBdr>
                <w:top w:val="none" w:sz="0" w:space="0" w:color="auto"/>
                <w:left w:val="none" w:sz="0" w:space="0" w:color="auto"/>
                <w:bottom w:val="none" w:sz="0" w:space="0" w:color="auto"/>
                <w:right w:val="none" w:sz="0" w:space="0" w:color="auto"/>
              </w:divBdr>
              <w:divsChild>
                <w:div w:id="488903953">
                  <w:marLeft w:val="0"/>
                  <w:marRight w:val="0"/>
                  <w:marTop w:val="0"/>
                  <w:marBottom w:val="0"/>
                  <w:divBdr>
                    <w:top w:val="none" w:sz="0" w:space="0" w:color="auto"/>
                    <w:left w:val="none" w:sz="0" w:space="0" w:color="auto"/>
                    <w:bottom w:val="none" w:sz="0" w:space="0" w:color="auto"/>
                    <w:right w:val="none" w:sz="0" w:space="0" w:color="auto"/>
                  </w:divBdr>
                  <w:divsChild>
                    <w:div w:id="13743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66420">
          <w:marLeft w:val="0"/>
          <w:marRight w:val="0"/>
          <w:marTop w:val="0"/>
          <w:marBottom w:val="0"/>
          <w:divBdr>
            <w:top w:val="none" w:sz="0" w:space="0" w:color="auto"/>
            <w:left w:val="none" w:sz="0" w:space="0" w:color="auto"/>
            <w:bottom w:val="none" w:sz="0" w:space="0" w:color="auto"/>
            <w:right w:val="none" w:sz="0" w:space="0" w:color="auto"/>
          </w:divBdr>
        </w:div>
      </w:divsChild>
    </w:div>
    <w:div w:id="33387076">
      <w:bodyDiv w:val="1"/>
      <w:marLeft w:val="0"/>
      <w:marRight w:val="0"/>
      <w:marTop w:val="0"/>
      <w:marBottom w:val="0"/>
      <w:divBdr>
        <w:top w:val="none" w:sz="0" w:space="0" w:color="auto"/>
        <w:left w:val="none" w:sz="0" w:space="0" w:color="auto"/>
        <w:bottom w:val="none" w:sz="0" w:space="0" w:color="auto"/>
        <w:right w:val="none" w:sz="0" w:space="0" w:color="auto"/>
      </w:divBdr>
    </w:div>
    <w:div w:id="75248246">
      <w:bodyDiv w:val="1"/>
      <w:marLeft w:val="0"/>
      <w:marRight w:val="0"/>
      <w:marTop w:val="0"/>
      <w:marBottom w:val="0"/>
      <w:divBdr>
        <w:top w:val="none" w:sz="0" w:space="0" w:color="auto"/>
        <w:left w:val="none" w:sz="0" w:space="0" w:color="auto"/>
        <w:bottom w:val="none" w:sz="0" w:space="0" w:color="auto"/>
        <w:right w:val="none" w:sz="0" w:space="0" w:color="auto"/>
      </w:divBdr>
      <w:divsChild>
        <w:div w:id="1131248499">
          <w:marLeft w:val="0"/>
          <w:marRight w:val="0"/>
          <w:marTop w:val="0"/>
          <w:marBottom w:val="0"/>
          <w:divBdr>
            <w:top w:val="none" w:sz="0" w:space="0" w:color="auto"/>
            <w:left w:val="none" w:sz="0" w:space="0" w:color="auto"/>
            <w:bottom w:val="none" w:sz="0" w:space="0" w:color="auto"/>
            <w:right w:val="none" w:sz="0" w:space="0" w:color="auto"/>
          </w:divBdr>
        </w:div>
      </w:divsChild>
    </w:div>
    <w:div w:id="97726889">
      <w:bodyDiv w:val="1"/>
      <w:marLeft w:val="0"/>
      <w:marRight w:val="0"/>
      <w:marTop w:val="0"/>
      <w:marBottom w:val="0"/>
      <w:divBdr>
        <w:top w:val="none" w:sz="0" w:space="0" w:color="auto"/>
        <w:left w:val="none" w:sz="0" w:space="0" w:color="auto"/>
        <w:bottom w:val="none" w:sz="0" w:space="0" w:color="auto"/>
        <w:right w:val="none" w:sz="0" w:space="0" w:color="auto"/>
      </w:divBdr>
      <w:divsChild>
        <w:div w:id="1210414802">
          <w:marLeft w:val="0"/>
          <w:marRight w:val="0"/>
          <w:marTop w:val="0"/>
          <w:marBottom w:val="0"/>
          <w:divBdr>
            <w:top w:val="none" w:sz="0" w:space="0" w:color="auto"/>
            <w:left w:val="none" w:sz="0" w:space="0" w:color="auto"/>
            <w:bottom w:val="none" w:sz="0" w:space="0" w:color="auto"/>
            <w:right w:val="none" w:sz="0" w:space="0" w:color="auto"/>
          </w:divBdr>
        </w:div>
      </w:divsChild>
    </w:div>
    <w:div w:id="102578222">
      <w:bodyDiv w:val="1"/>
      <w:marLeft w:val="0"/>
      <w:marRight w:val="0"/>
      <w:marTop w:val="0"/>
      <w:marBottom w:val="0"/>
      <w:divBdr>
        <w:top w:val="none" w:sz="0" w:space="0" w:color="auto"/>
        <w:left w:val="none" w:sz="0" w:space="0" w:color="auto"/>
        <w:bottom w:val="none" w:sz="0" w:space="0" w:color="auto"/>
        <w:right w:val="none" w:sz="0" w:space="0" w:color="auto"/>
      </w:divBdr>
      <w:divsChild>
        <w:div w:id="1583562061">
          <w:marLeft w:val="0"/>
          <w:marRight w:val="0"/>
          <w:marTop w:val="0"/>
          <w:marBottom w:val="0"/>
          <w:divBdr>
            <w:top w:val="none" w:sz="0" w:space="0" w:color="auto"/>
            <w:left w:val="none" w:sz="0" w:space="0" w:color="auto"/>
            <w:bottom w:val="none" w:sz="0" w:space="0" w:color="auto"/>
            <w:right w:val="none" w:sz="0" w:space="0" w:color="auto"/>
          </w:divBdr>
        </w:div>
      </w:divsChild>
    </w:div>
    <w:div w:id="149256376">
      <w:bodyDiv w:val="1"/>
      <w:marLeft w:val="0"/>
      <w:marRight w:val="0"/>
      <w:marTop w:val="0"/>
      <w:marBottom w:val="0"/>
      <w:divBdr>
        <w:top w:val="none" w:sz="0" w:space="0" w:color="auto"/>
        <w:left w:val="none" w:sz="0" w:space="0" w:color="auto"/>
        <w:bottom w:val="none" w:sz="0" w:space="0" w:color="auto"/>
        <w:right w:val="none" w:sz="0" w:space="0" w:color="auto"/>
      </w:divBdr>
      <w:divsChild>
        <w:div w:id="2084598439">
          <w:marLeft w:val="0"/>
          <w:marRight w:val="0"/>
          <w:marTop w:val="0"/>
          <w:marBottom w:val="0"/>
          <w:divBdr>
            <w:top w:val="none" w:sz="0" w:space="0" w:color="auto"/>
            <w:left w:val="none" w:sz="0" w:space="0" w:color="auto"/>
            <w:bottom w:val="none" w:sz="0" w:space="0" w:color="auto"/>
            <w:right w:val="none" w:sz="0" w:space="0" w:color="auto"/>
          </w:divBdr>
        </w:div>
      </w:divsChild>
    </w:div>
    <w:div w:id="157035932">
      <w:bodyDiv w:val="1"/>
      <w:marLeft w:val="0"/>
      <w:marRight w:val="0"/>
      <w:marTop w:val="0"/>
      <w:marBottom w:val="0"/>
      <w:divBdr>
        <w:top w:val="none" w:sz="0" w:space="0" w:color="auto"/>
        <w:left w:val="none" w:sz="0" w:space="0" w:color="auto"/>
        <w:bottom w:val="none" w:sz="0" w:space="0" w:color="auto"/>
        <w:right w:val="none" w:sz="0" w:space="0" w:color="auto"/>
      </w:divBdr>
      <w:divsChild>
        <w:div w:id="94596942">
          <w:marLeft w:val="0"/>
          <w:marRight w:val="0"/>
          <w:marTop w:val="0"/>
          <w:marBottom w:val="0"/>
          <w:divBdr>
            <w:top w:val="none" w:sz="0" w:space="0" w:color="auto"/>
            <w:left w:val="none" w:sz="0" w:space="0" w:color="auto"/>
            <w:bottom w:val="none" w:sz="0" w:space="0" w:color="auto"/>
            <w:right w:val="none" w:sz="0" w:space="0" w:color="auto"/>
          </w:divBdr>
        </w:div>
      </w:divsChild>
    </w:div>
    <w:div w:id="172259640">
      <w:bodyDiv w:val="1"/>
      <w:marLeft w:val="0"/>
      <w:marRight w:val="0"/>
      <w:marTop w:val="0"/>
      <w:marBottom w:val="0"/>
      <w:divBdr>
        <w:top w:val="none" w:sz="0" w:space="0" w:color="auto"/>
        <w:left w:val="none" w:sz="0" w:space="0" w:color="auto"/>
        <w:bottom w:val="none" w:sz="0" w:space="0" w:color="auto"/>
        <w:right w:val="none" w:sz="0" w:space="0" w:color="auto"/>
      </w:divBdr>
      <w:divsChild>
        <w:div w:id="7757617">
          <w:marLeft w:val="0"/>
          <w:marRight w:val="0"/>
          <w:marTop w:val="0"/>
          <w:marBottom w:val="0"/>
          <w:divBdr>
            <w:top w:val="none" w:sz="0" w:space="0" w:color="auto"/>
            <w:left w:val="none" w:sz="0" w:space="0" w:color="auto"/>
            <w:bottom w:val="none" w:sz="0" w:space="0" w:color="auto"/>
            <w:right w:val="none" w:sz="0" w:space="0" w:color="auto"/>
          </w:divBdr>
        </w:div>
      </w:divsChild>
    </w:div>
    <w:div w:id="224415648">
      <w:bodyDiv w:val="1"/>
      <w:marLeft w:val="0"/>
      <w:marRight w:val="0"/>
      <w:marTop w:val="0"/>
      <w:marBottom w:val="0"/>
      <w:divBdr>
        <w:top w:val="none" w:sz="0" w:space="0" w:color="auto"/>
        <w:left w:val="none" w:sz="0" w:space="0" w:color="auto"/>
        <w:bottom w:val="none" w:sz="0" w:space="0" w:color="auto"/>
        <w:right w:val="none" w:sz="0" w:space="0" w:color="auto"/>
      </w:divBdr>
      <w:divsChild>
        <w:div w:id="623191076">
          <w:marLeft w:val="0"/>
          <w:marRight w:val="0"/>
          <w:marTop w:val="0"/>
          <w:marBottom w:val="0"/>
          <w:divBdr>
            <w:top w:val="none" w:sz="0" w:space="0" w:color="auto"/>
            <w:left w:val="none" w:sz="0" w:space="0" w:color="auto"/>
            <w:bottom w:val="none" w:sz="0" w:space="0" w:color="auto"/>
            <w:right w:val="none" w:sz="0" w:space="0" w:color="auto"/>
          </w:divBdr>
        </w:div>
      </w:divsChild>
    </w:div>
    <w:div w:id="270357075">
      <w:bodyDiv w:val="1"/>
      <w:marLeft w:val="0"/>
      <w:marRight w:val="0"/>
      <w:marTop w:val="0"/>
      <w:marBottom w:val="0"/>
      <w:divBdr>
        <w:top w:val="none" w:sz="0" w:space="0" w:color="auto"/>
        <w:left w:val="none" w:sz="0" w:space="0" w:color="auto"/>
        <w:bottom w:val="none" w:sz="0" w:space="0" w:color="auto"/>
        <w:right w:val="none" w:sz="0" w:space="0" w:color="auto"/>
      </w:divBdr>
      <w:divsChild>
        <w:div w:id="1769151450">
          <w:marLeft w:val="0"/>
          <w:marRight w:val="0"/>
          <w:marTop w:val="0"/>
          <w:marBottom w:val="0"/>
          <w:divBdr>
            <w:top w:val="none" w:sz="0" w:space="0" w:color="auto"/>
            <w:left w:val="none" w:sz="0" w:space="0" w:color="auto"/>
            <w:bottom w:val="none" w:sz="0" w:space="0" w:color="auto"/>
            <w:right w:val="none" w:sz="0" w:space="0" w:color="auto"/>
          </w:divBdr>
        </w:div>
      </w:divsChild>
    </w:div>
    <w:div w:id="336926856">
      <w:bodyDiv w:val="1"/>
      <w:marLeft w:val="0"/>
      <w:marRight w:val="0"/>
      <w:marTop w:val="0"/>
      <w:marBottom w:val="0"/>
      <w:divBdr>
        <w:top w:val="none" w:sz="0" w:space="0" w:color="auto"/>
        <w:left w:val="none" w:sz="0" w:space="0" w:color="auto"/>
        <w:bottom w:val="none" w:sz="0" w:space="0" w:color="auto"/>
        <w:right w:val="none" w:sz="0" w:space="0" w:color="auto"/>
      </w:divBdr>
      <w:divsChild>
        <w:div w:id="1065029365">
          <w:marLeft w:val="0"/>
          <w:marRight w:val="0"/>
          <w:marTop w:val="0"/>
          <w:marBottom w:val="0"/>
          <w:divBdr>
            <w:top w:val="none" w:sz="0" w:space="0" w:color="auto"/>
            <w:left w:val="none" w:sz="0" w:space="0" w:color="auto"/>
            <w:bottom w:val="none" w:sz="0" w:space="0" w:color="auto"/>
            <w:right w:val="none" w:sz="0" w:space="0" w:color="auto"/>
          </w:divBdr>
        </w:div>
      </w:divsChild>
    </w:div>
    <w:div w:id="366612421">
      <w:bodyDiv w:val="1"/>
      <w:marLeft w:val="0"/>
      <w:marRight w:val="0"/>
      <w:marTop w:val="0"/>
      <w:marBottom w:val="0"/>
      <w:divBdr>
        <w:top w:val="none" w:sz="0" w:space="0" w:color="auto"/>
        <w:left w:val="none" w:sz="0" w:space="0" w:color="auto"/>
        <w:bottom w:val="none" w:sz="0" w:space="0" w:color="auto"/>
        <w:right w:val="none" w:sz="0" w:space="0" w:color="auto"/>
      </w:divBdr>
      <w:divsChild>
        <w:div w:id="1895197097">
          <w:marLeft w:val="0"/>
          <w:marRight w:val="0"/>
          <w:marTop w:val="0"/>
          <w:marBottom w:val="0"/>
          <w:divBdr>
            <w:top w:val="none" w:sz="0" w:space="0" w:color="auto"/>
            <w:left w:val="none" w:sz="0" w:space="0" w:color="auto"/>
            <w:bottom w:val="none" w:sz="0" w:space="0" w:color="auto"/>
            <w:right w:val="none" w:sz="0" w:space="0" w:color="auto"/>
          </w:divBdr>
        </w:div>
      </w:divsChild>
    </w:div>
    <w:div w:id="369385044">
      <w:bodyDiv w:val="1"/>
      <w:marLeft w:val="0"/>
      <w:marRight w:val="0"/>
      <w:marTop w:val="0"/>
      <w:marBottom w:val="0"/>
      <w:divBdr>
        <w:top w:val="none" w:sz="0" w:space="0" w:color="auto"/>
        <w:left w:val="none" w:sz="0" w:space="0" w:color="auto"/>
        <w:bottom w:val="none" w:sz="0" w:space="0" w:color="auto"/>
        <w:right w:val="none" w:sz="0" w:space="0" w:color="auto"/>
      </w:divBdr>
      <w:divsChild>
        <w:div w:id="1897007312">
          <w:marLeft w:val="0"/>
          <w:marRight w:val="0"/>
          <w:marTop w:val="0"/>
          <w:marBottom w:val="0"/>
          <w:divBdr>
            <w:top w:val="none" w:sz="0" w:space="0" w:color="auto"/>
            <w:left w:val="none" w:sz="0" w:space="0" w:color="auto"/>
            <w:bottom w:val="none" w:sz="0" w:space="0" w:color="auto"/>
            <w:right w:val="none" w:sz="0" w:space="0" w:color="auto"/>
          </w:divBdr>
        </w:div>
      </w:divsChild>
    </w:div>
    <w:div w:id="377436437">
      <w:bodyDiv w:val="1"/>
      <w:marLeft w:val="0"/>
      <w:marRight w:val="0"/>
      <w:marTop w:val="0"/>
      <w:marBottom w:val="0"/>
      <w:divBdr>
        <w:top w:val="none" w:sz="0" w:space="0" w:color="auto"/>
        <w:left w:val="none" w:sz="0" w:space="0" w:color="auto"/>
        <w:bottom w:val="none" w:sz="0" w:space="0" w:color="auto"/>
        <w:right w:val="none" w:sz="0" w:space="0" w:color="auto"/>
      </w:divBdr>
      <w:divsChild>
        <w:div w:id="1909226101">
          <w:marLeft w:val="0"/>
          <w:marRight w:val="0"/>
          <w:marTop w:val="0"/>
          <w:marBottom w:val="0"/>
          <w:divBdr>
            <w:top w:val="none" w:sz="0" w:space="0" w:color="auto"/>
            <w:left w:val="none" w:sz="0" w:space="0" w:color="auto"/>
            <w:bottom w:val="none" w:sz="0" w:space="0" w:color="auto"/>
            <w:right w:val="none" w:sz="0" w:space="0" w:color="auto"/>
          </w:divBdr>
        </w:div>
      </w:divsChild>
    </w:div>
    <w:div w:id="470094681">
      <w:bodyDiv w:val="1"/>
      <w:marLeft w:val="0"/>
      <w:marRight w:val="0"/>
      <w:marTop w:val="0"/>
      <w:marBottom w:val="0"/>
      <w:divBdr>
        <w:top w:val="none" w:sz="0" w:space="0" w:color="auto"/>
        <w:left w:val="none" w:sz="0" w:space="0" w:color="auto"/>
        <w:bottom w:val="none" w:sz="0" w:space="0" w:color="auto"/>
        <w:right w:val="none" w:sz="0" w:space="0" w:color="auto"/>
      </w:divBdr>
      <w:divsChild>
        <w:div w:id="921917133">
          <w:marLeft w:val="0"/>
          <w:marRight w:val="0"/>
          <w:marTop w:val="0"/>
          <w:marBottom w:val="0"/>
          <w:divBdr>
            <w:top w:val="none" w:sz="0" w:space="0" w:color="auto"/>
            <w:left w:val="none" w:sz="0" w:space="0" w:color="auto"/>
            <w:bottom w:val="none" w:sz="0" w:space="0" w:color="auto"/>
            <w:right w:val="none" w:sz="0" w:space="0" w:color="auto"/>
          </w:divBdr>
        </w:div>
      </w:divsChild>
    </w:div>
    <w:div w:id="484901848">
      <w:bodyDiv w:val="1"/>
      <w:marLeft w:val="0"/>
      <w:marRight w:val="0"/>
      <w:marTop w:val="0"/>
      <w:marBottom w:val="0"/>
      <w:divBdr>
        <w:top w:val="none" w:sz="0" w:space="0" w:color="auto"/>
        <w:left w:val="none" w:sz="0" w:space="0" w:color="auto"/>
        <w:bottom w:val="none" w:sz="0" w:space="0" w:color="auto"/>
        <w:right w:val="none" w:sz="0" w:space="0" w:color="auto"/>
      </w:divBdr>
      <w:divsChild>
        <w:div w:id="2147160660">
          <w:marLeft w:val="0"/>
          <w:marRight w:val="0"/>
          <w:marTop w:val="0"/>
          <w:marBottom w:val="0"/>
          <w:divBdr>
            <w:top w:val="none" w:sz="0" w:space="0" w:color="auto"/>
            <w:left w:val="none" w:sz="0" w:space="0" w:color="auto"/>
            <w:bottom w:val="none" w:sz="0" w:space="0" w:color="auto"/>
            <w:right w:val="none" w:sz="0" w:space="0" w:color="auto"/>
          </w:divBdr>
        </w:div>
      </w:divsChild>
    </w:div>
    <w:div w:id="535507092">
      <w:bodyDiv w:val="1"/>
      <w:marLeft w:val="0"/>
      <w:marRight w:val="0"/>
      <w:marTop w:val="0"/>
      <w:marBottom w:val="0"/>
      <w:divBdr>
        <w:top w:val="none" w:sz="0" w:space="0" w:color="auto"/>
        <w:left w:val="none" w:sz="0" w:space="0" w:color="auto"/>
        <w:bottom w:val="none" w:sz="0" w:space="0" w:color="auto"/>
        <w:right w:val="none" w:sz="0" w:space="0" w:color="auto"/>
      </w:divBdr>
      <w:divsChild>
        <w:div w:id="1495223034">
          <w:marLeft w:val="0"/>
          <w:marRight w:val="0"/>
          <w:marTop w:val="0"/>
          <w:marBottom w:val="0"/>
          <w:divBdr>
            <w:top w:val="none" w:sz="0" w:space="0" w:color="auto"/>
            <w:left w:val="none" w:sz="0" w:space="0" w:color="auto"/>
            <w:bottom w:val="none" w:sz="0" w:space="0" w:color="auto"/>
            <w:right w:val="none" w:sz="0" w:space="0" w:color="auto"/>
          </w:divBdr>
        </w:div>
      </w:divsChild>
    </w:div>
    <w:div w:id="569581527">
      <w:bodyDiv w:val="1"/>
      <w:marLeft w:val="0"/>
      <w:marRight w:val="0"/>
      <w:marTop w:val="0"/>
      <w:marBottom w:val="0"/>
      <w:divBdr>
        <w:top w:val="none" w:sz="0" w:space="0" w:color="auto"/>
        <w:left w:val="none" w:sz="0" w:space="0" w:color="auto"/>
        <w:bottom w:val="none" w:sz="0" w:space="0" w:color="auto"/>
        <w:right w:val="none" w:sz="0" w:space="0" w:color="auto"/>
      </w:divBdr>
    </w:div>
    <w:div w:id="596868505">
      <w:bodyDiv w:val="1"/>
      <w:marLeft w:val="0"/>
      <w:marRight w:val="0"/>
      <w:marTop w:val="0"/>
      <w:marBottom w:val="0"/>
      <w:divBdr>
        <w:top w:val="none" w:sz="0" w:space="0" w:color="auto"/>
        <w:left w:val="none" w:sz="0" w:space="0" w:color="auto"/>
        <w:bottom w:val="none" w:sz="0" w:space="0" w:color="auto"/>
        <w:right w:val="none" w:sz="0" w:space="0" w:color="auto"/>
      </w:divBdr>
      <w:divsChild>
        <w:div w:id="741173596">
          <w:marLeft w:val="0"/>
          <w:marRight w:val="0"/>
          <w:marTop w:val="0"/>
          <w:marBottom w:val="0"/>
          <w:divBdr>
            <w:top w:val="none" w:sz="0" w:space="0" w:color="auto"/>
            <w:left w:val="none" w:sz="0" w:space="0" w:color="auto"/>
            <w:bottom w:val="none" w:sz="0" w:space="0" w:color="auto"/>
            <w:right w:val="none" w:sz="0" w:space="0" w:color="auto"/>
          </w:divBdr>
        </w:div>
      </w:divsChild>
    </w:div>
    <w:div w:id="608321656">
      <w:bodyDiv w:val="1"/>
      <w:marLeft w:val="0"/>
      <w:marRight w:val="0"/>
      <w:marTop w:val="0"/>
      <w:marBottom w:val="0"/>
      <w:divBdr>
        <w:top w:val="none" w:sz="0" w:space="0" w:color="auto"/>
        <w:left w:val="none" w:sz="0" w:space="0" w:color="auto"/>
        <w:bottom w:val="none" w:sz="0" w:space="0" w:color="auto"/>
        <w:right w:val="none" w:sz="0" w:space="0" w:color="auto"/>
      </w:divBdr>
      <w:divsChild>
        <w:div w:id="653801407">
          <w:marLeft w:val="0"/>
          <w:marRight w:val="0"/>
          <w:marTop w:val="0"/>
          <w:marBottom w:val="0"/>
          <w:divBdr>
            <w:top w:val="none" w:sz="0" w:space="0" w:color="auto"/>
            <w:left w:val="none" w:sz="0" w:space="0" w:color="auto"/>
            <w:bottom w:val="none" w:sz="0" w:space="0" w:color="auto"/>
            <w:right w:val="none" w:sz="0" w:space="0" w:color="auto"/>
          </w:divBdr>
        </w:div>
      </w:divsChild>
    </w:div>
    <w:div w:id="632176006">
      <w:bodyDiv w:val="1"/>
      <w:marLeft w:val="0"/>
      <w:marRight w:val="0"/>
      <w:marTop w:val="0"/>
      <w:marBottom w:val="0"/>
      <w:divBdr>
        <w:top w:val="none" w:sz="0" w:space="0" w:color="auto"/>
        <w:left w:val="none" w:sz="0" w:space="0" w:color="auto"/>
        <w:bottom w:val="none" w:sz="0" w:space="0" w:color="auto"/>
        <w:right w:val="none" w:sz="0" w:space="0" w:color="auto"/>
      </w:divBdr>
      <w:divsChild>
        <w:div w:id="84886477">
          <w:marLeft w:val="0"/>
          <w:marRight w:val="0"/>
          <w:marTop w:val="0"/>
          <w:marBottom w:val="0"/>
          <w:divBdr>
            <w:top w:val="none" w:sz="0" w:space="0" w:color="auto"/>
            <w:left w:val="none" w:sz="0" w:space="0" w:color="auto"/>
            <w:bottom w:val="none" w:sz="0" w:space="0" w:color="auto"/>
            <w:right w:val="none" w:sz="0" w:space="0" w:color="auto"/>
          </w:divBdr>
        </w:div>
      </w:divsChild>
    </w:div>
    <w:div w:id="634219130">
      <w:bodyDiv w:val="1"/>
      <w:marLeft w:val="0"/>
      <w:marRight w:val="0"/>
      <w:marTop w:val="0"/>
      <w:marBottom w:val="0"/>
      <w:divBdr>
        <w:top w:val="none" w:sz="0" w:space="0" w:color="auto"/>
        <w:left w:val="none" w:sz="0" w:space="0" w:color="auto"/>
        <w:bottom w:val="none" w:sz="0" w:space="0" w:color="auto"/>
        <w:right w:val="none" w:sz="0" w:space="0" w:color="auto"/>
      </w:divBdr>
      <w:divsChild>
        <w:div w:id="1050956129">
          <w:marLeft w:val="0"/>
          <w:marRight w:val="0"/>
          <w:marTop w:val="0"/>
          <w:marBottom w:val="0"/>
          <w:divBdr>
            <w:top w:val="none" w:sz="0" w:space="0" w:color="auto"/>
            <w:left w:val="none" w:sz="0" w:space="0" w:color="auto"/>
            <w:bottom w:val="none" w:sz="0" w:space="0" w:color="auto"/>
            <w:right w:val="none" w:sz="0" w:space="0" w:color="auto"/>
          </w:divBdr>
        </w:div>
      </w:divsChild>
    </w:div>
    <w:div w:id="694966018">
      <w:bodyDiv w:val="1"/>
      <w:marLeft w:val="0"/>
      <w:marRight w:val="0"/>
      <w:marTop w:val="0"/>
      <w:marBottom w:val="0"/>
      <w:divBdr>
        <w:top w:val="none" w:sz="0" w:space="0" w:color="auto"/>
        <w:left w:val="none" w:sz="0" w:space="0" w:color="auto"/>
        <w:bottom w:val="none" w:sz="0" w:space="0" w:color="auto"/>
        <w:right w:val="none" w:sz="0" w:space="0" w:color="auto"/>
      </w:divBdr>
      <w:divsChild>
        <w:div w:id="1289583122">
          <w:marLeft w:val="0"/>
          <w:marRight w:val="0"/>
          <w:marTop w:val="0"/>
          <w:marBottom w:val="0"/>
          <w:divBdr>
            <w:top w:val="none" w:sz="0" w:space="0" w:color="auto"/>
            <w:left w:val="none" w:sz="0" w:space="0" w:color="auto"/>
            <w:bottom w:val="none" w:sz="0" w:space="0" w:color="auto"/>
            <w:right w:val="none" w:sz="0" w:space="0" w:color="auto"/>
          </w:divBdr>
        </w:div>
      </w:divsChild>
    </w:div>
    <w:div w:id="704133265">
      <w:bodyDiv w:val="1"/>
      <w:marLeft w:val="0"/>
      <w:marRight w:val="0"/>
      <w:marTop w:val="0"/>
      <w:marBottom w:val="0"/>
      <w:divBdr>
        <w:top w:val="none" w:sz="0" w:space="0" w:color="auto"/>
        <w:left w:val="none" w:sz="0" w:space="0" w:color="auto"/>
        <w:bottom w:val="none" w:sz="0" w:space="0" w:color="auto"/>
        <w:right w:val="none" w:sz="0" w:space="0" w:color="auto"/>
      </w:divBdr>
      <w:divsChild>
        <w:div w:id="1978027955">
          <w:marLeft w:val="0"/>
          <w:marRight w:val="0"/>
          <w:marTop w:val="0"/>
          <w:marBottom w:val="0"/>
          <w:divBdr>
            <w:top w:val="none" w:sz="0" w:space="0" w:color="auto"/>
            <w:left w:val="none" w:sz="0" w:space="0" w:color="auto"/>
            <w:bottom w:val="none" w:sz="0" w:space="0" w:color="auto"/>
            <w:right w:val="none" w:sz="0" w:space="0" w:color="auto"/>
          </w:divBdr>
        </w:div>
      </w:divsChild>
    </w:div>
    <w:div w:id="720978167">
      <w:bodyDiv w:val="1"/>
      <w:marLeft w:val="0"/>
      <w:marRight w:val="0"/>
      <w:marTop w:val="0"/>
      <w:marBottom w:val="0"/>
      <w:divBdr>
        <w:top w:val="none" w:sz="0" w:space="0" w:color="auto"/>
        <w:left w:val="none" w:sz="0" w:space="0" w:color="auto"/>
        <w:bottom w:val="none" w:sz="0" w:space="0" w:color="auto"/>
        <w:right w:val="none" w:sz="0" w:space="0" w:color="auto"/>
      </w:divBdr>
    </w:div>
    <w:div w:id="730662849">
      <w:bodyDiv w:val="1"/>
      <w:marLeft w:val="0"/>
      <w:marRight w:val="0"/>
      <w:marTop w:val="0"/>
      <w:marBottom w:val="0"/>
      <w:divBdr>
        <w:top w:val="none" w:sz="0" w:space="0" w:color="auto"/>
        <w:left w:val="none" w:sz="0" w:space="0" w:color="auto"/>
        <w:bottom w:val="none" w:sz="0" w:space="0" w:color="auto"/>
        <w:right w:val="none" w:sz="0" w:space="0" w:color="auto"/>
      </w:divBdr>
      <w:divsChild>
        <w:div w:id="644772319">
          <w:marLeft w:val="0"/>
          <w:marRight w:val="0"/>
          <w:marTop w:val="0"/>
          <w:marBottom w:val="0"/>
          <w:divBdr>
            <w:top w:val="none" w:sz="0" w:space="0" w:color="auto"/>
            <w:left w:val="none" w:sz="0" w:space="0" w:color="auto"/>
            <w:bottom w:val="none" w:sz="0" w:space="0" w:color="auto"/>
            <w:right w:val="none" w:sz="0" w:space="0" w:color="auto"/>
          </w:divBdr>
        </w:div>
      </w:divsChild>
    </w:div>
    <w:div w:id="795100848">
      <w:bodyDiv w:val="1"/>
      <w:marLeft w:val="0"/>
      <w:marRight w:val="0"/>
      <w:marTop w:val="0"/>
      <w:marBottom w:val="0"/>
      <w:divBdr>
        <w:top w:val="none" w:sz="0" w:space="0" w:color="auto"/>
        <w:left w:val="none" w:sz="0" w:space="0" w:color="auto"/>
        <w:bottom w:val="none" w:sz="0" w:space="0" w:color="auto"/>
        <w:right w:val="none" w:sz="0" w:space="0" w:color="auto"/>
      </w:divBdr>
      <w:divsChild>
        <w:div w:id="177549790">
          <w:marLeft w:val="0"/>
          <w:marRight w:val="0"/>
          <w:marTop w:val="0"/>
          <w:marBottom w:val="0"/>
          <w:divBdr>
            <w:top w:val="none" w:sz="0" w:space="0" w:color="auto"/>
            <w:left w:val="none" w:sz="0" w:space="0" w:color="auto"/>
            <w:bottom w:val="none" w:sz="0" w:space="0" w:color="auto"/>
            <w:right w:val="none" w:sz="0" w:space="0" w:color="auto"/>
          </w:divBdr>
        </w:div>
      </w:divsChild>
    </w:div>
    <w:div w:id="805856088">
      <w:bodyDiv w:val="1"/>
      <w:marLeft w:val="0"/>
      <w:marRight w:val="0"/>
      <w:marTop w:val="0"/>
      <w:marBottom w:val="0"/>
      <w:divBdr>
        <w:top w:val="none" w:sz="0" w:space="0" w:color="auto"/>
        <w:left w:val="none" w:sz="0" w:space="0" w:color="auto"/>
        <w:bottom w:val="none" w:sz="0" w:space="0" w:color="auto"/>
        <w:right w:val="none" w:sz="0" w:space="0" w:color="auto"/>
      </w:divBdr>
      <w:divsChild>
        <w:div w:id="1871339805">
          <w:marLeft w:val="0"/>
          <w:marRight w:val="0"/>
          <w:marTop w:val="0"/>
          <w:marBottom w:val="0"/>
          <w:divBdr>
            <w:top w:val="none" w:sz="0" w:space="0" w:color="auto"/>
            <w:left w:val="none" w:sz="0" w:space="0" w:color="auto"/>
            <w:bottom w:val="none" w:sz="0" w:space="0" w:color="auto"/>
            <w:right w:val="none" w:sz="0" w:space="0" w:color="auto"/>
          </w:divBdr>
        </w:div>
      </w:divsChild>
    </w:div>
    <w:div w:id="834956657">
      <w:bodyDiv w:val="1"/>
      <w:marLeft w:val="0"/>
      <w:marRight w:val="0"/>
      <w:marTop w:val="0"/>
      <w:marBottom w:val="0"/>
      <w:divBdr>
        <w:top w:val="none" w:sz="0" w:space="0" w:color="auto"/>
        <w:left w:val="none" w:sz="0" w:space="0" w:color="auto"/>
        <w:bottom w:val="none" w:sz="0" w:space="0" w:color="auto"/>
        <w:right w:val="none" w:sz="0" w:space="0" w:color="auto"/>
      </w:divBdr>
      <w:divsChild>
        <w:div w:id="940379662">
          <w:marLeft w:val="0"/>
          <w:marRight w:val="0"/>
          <w:marTop w:val="0"/>
          <w:marBottom w:val="0"/>
          <w:divBdr>
            <w:top w:val="none" w:sz="0" w:space="0" w:color="auto"/>
            <w:left w:val="none" w:sz="0" w:space="0" w:color="auto"/>
            <w:bottom w:val="none" w:sz="0" w:space="0" w:color="auto"/>
            <w:right w:val="none" w:sz="0" w:space="0" w:color="auto"/>
          </w:divBdr>
        </w:div>
      </w:divsChild>
    </w:div>
    <w:div w:id="839392191">
      <w:bodyDiv w:val="1"/>
      <w:marLeft w:val="0"/>
      <w:marRight w:val="0"/>
      <w:marTop w:val="0"/>
      <w:marBottom w:val="0"/>
      <w:divBdr>
        <w:top w:val="none" w:sz="0" w:space="0" w:color="auto"/>
        <w:left w:val="none" w:sz="0" w:space="0" w:color="auto"/>
        <w:bottom w:val="none" w:sz="0" w:space="0" w:color="auto"/>
        <w:right w:val="none" w:sz="0" w:space="0" w:color="auto"/>
      </w:divBdr>
      <w:divsChild>
        <w:div w:id="539170612">
          <w:marLeft w:val="0"/>
          <w:marRight w:val="0"/>
          <w:marTop w:val="0"/>
          <w:marBottom w:val="0"/>
          <w:divBdr>
            <w:top w:val="none" w:sz="0" w:space="0" w:color="auto"/>
            <w:left w:val="none" w:sz="0" w:space="0" w:color="auto"/>
            <w:bottom w:val="none" w:sz="0" w:space="0" w:color="auto"/>
            <w:right w:val="none" w:sz="0" w:space="0" w:color="auto"/>
          </w:divBdr>
        </w:div>
      </w:divsChild>
    </w:div>
    <w:div w:id="854460324">
      <w:bodyDiv w:val="1"/>
      <w:marLeft w:val="0"/>
      <w:marRight w:val="0"/>
      <w:marTop w:val="0"/>
      <w:marBottom w:val="0"/>
      <w:divBdr>
        <w:top w:val="none" w:sz="0" w:space="0" w:color="auto"/>
        <w:left w:val="none" w:sz="0" w:space="0" w:color="auto"/>
        <w:bottom w:val="none" w:sz="0" w:space="0" w:color="auto"/>
        <w:right w:val="none" w:sz="0" w:space="0" w:color="auto"/>
      </w:divBdr>
      <w:divsChild>
        <w:div w:id="1520269855">
          <w:marLeft w:val="0"/>
          <w:marRight w:val="0"/>
          <w:marTop w:val="0"/>
          <w:marBottom w:val="0"/>
          <w:divBdr>
            <w:top w:val="none" w:sz="0" w:space="0" w:color="auto"/>
            <w:left w:val="none" w:sz="0" w:space="0" w:color="auto"/>
            <w:bottom w:val="none" w:sz="0" w:space="0" w:color="auto"/>
            <w:right w:val="none" w:sz="0" w:space="0" w:color="auto"/>
          </w:divBdr>
        </w:div>
      </w:divsChild>
    </w:div>
    <w:div w:id="901407567">
      <w:bodyDiv w:val="1"/>
      <w:marLeft w:val="0"/>
      <w:marRight w:val="0"/>
      <w:marTop w:val="0"/>
      <w:marBottom w:val="0"/>
      <w:divBdr>
        <w:top w:val="none" w:sz="0" w:space="0" w:color="auto"/>
        <w:left w:val="none" w:sz="0" w:space="0" w:color="auto"/>
        <w:bottom w:val="none" w:sz="0" w:space="0" w:color="auto"/>
        <w:right w:val="none" w:sz="0" w:space="0" w:color="auto"/>
      </w:divBdr>
    </w:div>
    <w:div w:id="939683863">
      <w:bodyDiv w:val="1"/>
      <w:marLeft w:val="0"/>
      <w:marRight w:val="0"/>
      <w:marTop w:val="0"/>
      <w:marBottom w:val="0"/>
      <w:divBdr>
        <w:top w:val="none" w:sz="0" w:space="0" w:color="auto"/>
        <w:left w:val="none" w:sz="0" w:space="0" w:color="auto"/>
        <w:bottom w:val="none" w:sz="0" w:space="0" w:color="auto"/>
        <w:right w:val="none" w:sz="0" w:space="0" w:color="auto"/>
      </w:divBdr>
      <w:divsChild>
        <w:div w:id="1241672835">
          <w:marLeft w:val="0"/>
          <w:marRight w:val="0"/>
          <w:marTop w:val="0"/>
          <w:marBottom w:val="0"/>
          <w:divBdr>
            <w:top w:val="none" w:sz="0" w:space="0" w:color="auto"/>
            <w:left w:val="none" w:sz="0" w:space="0" w:color="auto"/>
            <w:bottom w:val="none" w:sz="0" w:space="0" w:color="auto"/>
            <w:right w:val="none" w:sz="0" w:space="0" w:color="auto"/>
          </w:divBdr>
        </w:div>
      </w:divsChild>
    </w:div>
    <w:div w:id="946155039">
      <w:bodyDiv w:val="1"/>
      <w:marLeft w:val="0"/>
      <w:marRight w:val="0"/>
      <w:marTop w:val="0"/>
      <w:marBottom w:val="0"/>
      <w:divBdr>
        <w:top w:val="none" w:sz="0" w:space="0" w:color="auto"/>
        <w:left w:val="none" w:sz="0" w:space="0" w:color="auto"/>
        <w:bottom w:val="none" w:sz="0" w:space="0" w:color="auto"/>
        <w:right w:val="none" w:sz="0" w:space="0" w:color="auto"/>
      </w:divBdr>
      <w:divsChild>
        <w:div w:id="335883192">
          <w:marLeft w:val="0"/>
          <w:marRight w:val="0"/>
          <w:marTop w:val="0"/>
          <w:marBottom w:val="0"/>
          <w:divBdr>
            <w:top w:val="none" w:sz="0" w:space="0" w:color="auto"/>
            <w:left w:val="none" w:sz="0" w:space="0" w:color="auto"/>
            <w:bottom w:val="none" w:sz="0" w:space="0" w:color="auto"/>
            <w:right w:val="none" w:sz="0" w:space="0" w:color="auto"/>
          </w:divBdr>
        </w:div>
      </w:divsChild>
    </w:div>
    <w:div w:id="982198655">
      <w:bodyDiv w:val="1"/>
      <w:marLeft w:val="0"/>
      <w:marRight w:val="0"/>
      <w:marTop w:val="0"/>
      <w:marBottom w:val="0"/>
      <w:divBdr>
        <w:top w:val="none" w:sz="0" w:space="0" w:color="auto"/>
        <w:left w:val="none" w:sz="0" w:space="0" w:color="auto"/>
        <w:bottom w:val="none" w:sz="0" w:space="0" w:color="auto"/>
        <w:right w:val="none" w:sz="0" w:space="0" w:color="auto"/>
      </w:divBdr>
      <w:divsChild>
        <w:div w:id="1512328909">
          <w:marLeft w:val="0"/>
          <w:marRight w:val="0"/>
          <w:marTop w:val="0"/>
          <w:marBottom w:val="0"/>
          <w:divBdr>
            <w:top w:val="none" w:sz="0" w:space="0" w:color="auto"/>
            <w:left w:val="none" w:sz="0" w:space="0" w:color="auto"/>
            <w:bottom w:val="none" w:sz="0" w:space="0" w:color="auto"/>
            <w:right w:val="none" w:sz="0" w:space="0" w:color="auto"/>
          </w:divBdr>
        </w:div>
      </w:divsChild>
    </w:div>
    <w:div w:id="1028608717">
      <w:bodyDiv w:val="1"/>
      <w:marLeft w:val="0"/>
      <w:marRight w:val="0"/>
      <w:marTop w:val="0"/>
      <w:marBottom w:val="0"/>
      <w:divBdr>
        <w:top w:val="none" w:sz="0" w:space="0" w:color="auto"/>
        <w:left w:val="none" w:sz="0" w:space="0" w:color="auto"/>
        <w:bottom w:val="none" w:sz="0" w:space="0" w:color="auto"/>
        <w:right w:val="none" w:sz="0" w:space="0" w:color="auto"/>
      </w:divBdr>
      <w:divsChild>
        <w:div w:id="88309727">
          <w:marLeft w:val="0"/>
          <w:marRight w:val="0"/>
          <w:marTop w:val="0"/>
          <w:marBottom w:val="0"/>
          <w:divBdr>
            <w:top w:val="none" w:sz="0" w:space="0" w:color="auto"/>
            <w:left w:val="none" w:sz="0" w:space="0" w:color="auto"/>
            <w:bottom w:val="none" w:sz="0" w:space="0" w:color="auto"/>
            <w:right w:val="none" w:sz="0" w:space="0" w:color="auto"/>
          </w:divBdr>
        </w:div>
      </w:divsChild>
    </w:div>
    <w:div w:id="1040394205">
      <w:bodyDiv w:val="1"/>
      <w:marLeft w:val="0"/>
      <w:marRight w:val="0"/>
      <w:marTop w:val="0"/>
      <w:marBottom w:val="0"/>
      <w:divBdr>
        <w:top w:val="none" w:sz="0" w:space="0" w:color="auto"/>
        <w:left w:val="none" w:sz="0" w:space="0" w:color="auto"/>
        <w:bottom w:val="none" w:sz="0" w:space="0" w:color="auto"/>
        <w:right w:val="none" w:sz="0" w:space="0" w:color="auto"/>
      </w:divBdr>
      <w:divsChild>
        <w:div w:id="386219341">
          <w:marLeft w:val="0"/>
          <w:marRight w:val="0"/>
          <w:marTop w:val="0"/>
          <w:marBottom w:val="0"/>
          <w:divBdr>
            <w:top w:val="none" w:sz="0" w:space="0" w:color="auto"/>
            <w:left w:val="none" w:sz="0" w:space="0" w:color="auto"/>
            <w:bottom w:val="none" w:sz="0" w:space="0" w:color="auto"/>
            <w:right w:val="none" w:sz="0" w:space="0" w:color="auto"/>
          </w:divBdr>
        </w:div>
      </w:divsChild>
    </w:div>
    <w:div w:id="1098020403">
      <w:bodyDiv w:val="1"/>
      <w:marLeft w:val="0"/>
      <w:marRight w:val="0"/>
      <w:marTop w:val="0"/>
      <w:marBottom w:val="0"/>
      <w:divBdr>
        <w:top w:val="none" w:sz="0" w:space="0" w:color="auto"/>
        <w:left w:val="none" w:sz="0" w:space="0" w:color="auto"/>
        <w:bottom w:val="none" w:sz="0" w:space="0" w:color="auto"/>
        <w:right w:val="none" w:sz="0" w:space="0" w:color="auto"/>
      </w:divBdr>
      <w:divsChild>
        <w:div w:id="1004360214">
          <w:marLeft w:val="0"/>
          <w:marRight w:val="0"/>
          <w:marTop w:val="0"/>
          <w:marBottom w:val="0"/>
          <w:divBdr>
            <w:top w:val="none" w:sz="0" w:space="0" w:color="auto"/>
            <w:left w:val="none" w:sz="0" w:space="0" w:color="auto"/>
            <w:bottom w:val="none" w:sz="0" w:space="0" w:color="auto"/>
            <w:right w:val="none" w:sz="0" w:space="0" w:color="auto"/>
          </w:divBdr>
        </w:div>
      </w:divsChild>
    </w:div>
    <w:div w:id="1099330193">
      <w:bodyDiv w:val="1"/>
      <w:marLeft w:val="0"/>
      <w:marRight w:val="0"/>
      <w:marTop w:val="0"/>
      <w:marBottom w:val="0"/>
      <w:divBdr>
        <w:top w:val="none" w:sz="0" w:space="0" w:color="auto"/>
        <w:left w:val="none" w:sz="0" w:space="0" w:color="auto"/>
        <w:bottom w:val="none" w:sz="0" w:space="0" w:color="auto"/>
        <w:right w:val="none" w:sz="0" w:space="0" w:color="auto"/>
      </w:divBdr>
    </w:div>
    <w:div w:id="1104494771">
      <w:bodyDiv w:val="1"/>
      <w:marLeft w:val="0"/>
      <w:marRight w:val="0"/>
      <w:marTop w:val="0"/>
      <w:marBottom w:val="0"/>
      <w:divBdr>
        <w:top w:val="none" w:sz="0" w:space="0" w:color="auto"/>
        <w:left w:val="none" w:sz="0" w:space="0" w:color="auto"/>
        <w:bottom w:val="none" w:sz="0" w:space="0" w:color="auto"/>
        <w:right w:val="none" w:sz="0" w:space="0" w:color="auto"/>
      </w:divBdr>
      <w:divsChild>
        <w:div w:id="296297643">
          <w:marLeft w:val="0"/>
          <w:marRight w:val="0"/>
          <w:marTop w:val="0"/>
          <w:marBottom w:val="0"/>
          <w:divBdr>
            <w:top w:val="none" w:sz="0" w:space="0" w:color="auto"/>
            <w:left w:val="none" w:sz="0" w:space="0" w:color="auto"/>
            <w:bottom w:val="none" w:sz="0" w:space="0" w:color="auto"/>
            <w:right w:val="none" w:sz="0" w:space="0" w:color="auto"/>
          </w:divBdr>
        </w:div>
      </w:divsChild>
    </w:div>
    <w:div w:id="1158349709">
      <w:bodyDiv w:val="1"/>
      <w:marLeft w:val="0"/>
      <w:marRight w:val="0"/>
      <w:marTop w:val="0"/>
      <w:marBottom w:val="0"/>
      <w:divBdr>
        <w:top w:val="none" w:sz="0" w:space="0" w:color="auto"/>
        <w:left w:val="none" w:sz="0" w:space="0" w:color="auto"/>
        <w:bottom w:val="none" w:sz="0" w:space="0" w:color="auto"/>
        <w:right w:val="none" w:sz="0" w:space="0" w:color="auto"/>
      </w:divBdr>
      <w:divsChild>
        <w:div w:id="1374647576">
          <w:marLeft w:val="0"/>
          <w:marRight w:val="0"/>
          <w:marTop w:val="0"/>
          <w:marBottom w:val="0"/>
          <w:divBdr>
            <w:top w:val="none" w:sz="0" w:space="0" w:color="auto"/>
            <w:left w:val="none" w:sz="0" w:space="0" w:color="auto"/>
            <w:bottom w:val="none" w:sz="0" w:space="0" w:color="auto"/>
            <w:right w:val="none" w:sz="0" w:space="0" w:color="auto"/>
          </w:divBdr>
        </w:div>
      </w:divsChild>
    </w:div>
    <w:div w:id="1215121618">
      <w:bodyDiv w:val="1"/>
      <w:marLeft w:val="0"/>
      <w:marRight w:val="0"/>
      <w:marTop w:val="0"/>
      <w:marBottom w:val="0"/>
      <w:divBdr>
        <w:top w:val="none" w:sz="0" w:space="0" w:color="auto"/>
        <w:left w:val="none" w:sz="0" w:space="0" w:color="auto"/>
        <w:bottom w:val="none" w:sz="0" w:space="0" w:color="auto"/>
        <w:right w:val="none" w:sz="0" w:space="0" w:color="auto"/>
      </w:divBdr>
      <w:divsChild>
        <w:div w:id="2114543731">
          <w:marLeft w:val="0"/>
          <w:marRight w:val="0"/>
          <w:marTop w:val="0"/>
          <w:marBottom w:val="0"/>
          <w:divBdr>
            <w:top w:val="none" w:sz="0" w:space="0" w:color="auto"/>
            <w:left w:val="none" w:sz="0" w:space="0" w:color="auto"/>
            <w:bottom w:val="none" w:sz="0" w:space="0" w:color="auto"/>
            <w:right w:val="none" w:sz="0" w:space="0" w:color="auto"/>
          </w:divBdr>
        </w:div>
      </w:divsChild>
    </w:div>
    <w:div w:id="1268466424">
      <w:bodyDiv w:val="1"/>
      <w:marLeft w:val="0"/>
      <w:marRight w:val="0"/>
      <w:marTop w:val="0"/>
      <w:marBottom w:val="0"/>
      <w:divBdr>
        <w:top w:val="none" w:sz="0" w:space="0" w:color="auto"/>
        <w:left w:val="none" w:sz="0" w:space="0" w:color="auto"/>
        <w:bottom w:val="none" w:sz="0" w:space="0" w:color="auto"/>
        <w:right w:val="none" w:sz="0" w:space="0" w:color="auto"/>
      </w:divBdr>
      <w:divsChild>
        <w:div w:id="474104932">
          <w:marLeft w:val="0"/>
          <w:marRight w:val="0"/>
          <w:marTop w:val="0"/>
          <w:marBottom w:val="0"/>
          <w:divBdr>
            <w:top w:val="none" w:sz="0" w:space="0" w:color="auto"/>
            <w:left w:val="none" w:sz="0" w:space="0" w:color="auto"/>
            <w:bottom w:val="none" w:sz="0" w:space="0" w:color="auto"/>
            <w:right w:val="none" w:sz="0" w:space="0" w:color="auto"/>
          </w:divBdr>
        </w:div>
      </w:divsChild>
    </w:div>
    <w:div w:id="1275789614">
      <w:bodyDiv w:val="1"/>
      <w:marLeft w:val="0"/>
      <w:marRight w:val="0"/>
      <w:marTop w:val="0"/>
      <w:marBottom w:val="0"/>
      <w:divBdr>
        <w:top w:val="none" w:sz="0" w:space="0" w:color="auto"/>
        <w:left w:val="none" w:sz="0" w:space="0" w:color="auto"/>
        <w:bottom w:val="none" w:sz="0" w:space="0" w:color="auto"/>
        <w:right w:val="none" w:sz="0" w:space="0" w:color="auto"/>
      </w:divBdr>
      <w:divsChild>
        <w:div w:id="269556520">
          <w:marLeft w:val="0"/>
          <w:marRight w:val="0"/>
          <w:marTop w:val="0"/>
          <w:marBottom w:val="0"/>
          <w:divBdr>
            <w:top w:val="none" w:sz="0" w:space="0" w:color="auto"/>
            <w:left w:val="none" w:sz="0" w:space="0" w:color="auto"/>
            <w:bottom w:val="none" w:sz="0" w:space="0" w:color="auto"/>
            <w:right w:val="none" w:sz="0" w:space="0" w:color="auto"/>
          </w:divBdr>
        </w:div>
      </w:divsChild>
    </w:div>
    <w:div w:id="1317999157">
      <w:bodyDiv w:val="1"/>
      <w:marLeft w:val="0"/>
      <w:marRight w:val="0"/>
      <w:marTop w:val="0"/>
      <w:marBottom w:val="0"/>
      <w:divBdr>
        <w:top w:val="none" w:sz="0" w:space="0" w:color="auto"/>
        <w:left w:val="none" w:sz="0" w:space="0" w:color="auto"/>
        <w:bottom w:val="none" w:sz="0" w:space="0" w:color="auto"/>
        <w:right w:val="none" w:sz="0" w:space="0" w:color="auto"/>
      </w:divBdr>
    </w:div>
    <w:div w:id="1329558536">
      <w:bodyDiv w:val="1"/>
      <w:marLeft w:val="0"/>
      <w:marRight w:val="0"/>
      <w:marTop w:val="0"/>
      <w:marBottom w:val="0"/>
      <w:divBdr>
        <w:top w:val="none" w:sz="0" w:space="0" w:color="auto"/>
        <w:left w:val="none" w:sz="0" w:space="0" w:color="auto"/>
        <w:bottom w:val="none" w:sz="0" w:space="0" w:color="auto"/>
        <w:right w:val="none" w:sz="0" w:space="0" w:color="auto"/>
      </w:divBdr>
      <w:divsChild>
        <w:div w:id="1731422848">
          <w:marLeft w:val="0"/>
          <w:marRight w:val="0"/>
          <w:marTop w:val="0"/>
          <w:marBottom w:val="0"/>
          <w:divBdr>
            <w:top w:val="none" w:sz="0" w:space="0" w:color="auto"/>
            <w:left w:val="none" w:sz="0" w:space="0" w:color="auto"/>
            <w:bottom w:val="none" w:sz="0" w:space="0" w:color="auto"/>
            <w:right w:val="none" w:sz="0" w:space="0" w:color="auto"/>
          </w:divBdr>
        </w:div>
      </w:divsChild>
    </w:div>
    <w:div w:id="1362197382">
      <w:bodyDiv w:val="1"/>
      <w:marLeft w:val="0"/>
      <w:marRight w:val="0"/>
      <w:marTop w:val="0"/>
      <w:marBottom w:val="0"/>
      <w:divBdr>
        <w:top w:val="none" w:sz="0" w:space="0" w:color="auto"/>
        <w:left w:val="none" w:sz="0" w:space="0" w:color="auto"/>
        <w:bottom w:val="none" w:sz="0" w:space="0" w:color="auto"/>
        <w:right w:val="none" w:sz="0" w:space="0" w:color="auto"/>
      </w:divBdr>
      <w:divsChild>
        <w:div w:id="1003751046">
          <w:marLeft w:val="0"/>
          <w:marRight w:val="0"/>
          <w:marTop w:val="0"/>
          <w:marBottom w:val="0"/>
          <w:divBdr>
            <w:top w:val="none" w:sz="0" w:space="0" w:color="auto"/>
            <w:left w:val="none" w:sz="0" w:space="0" w:color="auto"/>
            <w:bottom w:val="none" w:sz="0" w:space="0" w:color="auto"/>
            <w:right w:val="none" w:sz="0" w:space="0" w:color="auto"/>
          </w:divBdr>
        </w:div>
      </w:divsChild>
    </w:div>
    <w:div w:id="1425296687">
      <w:bodyDiv w:val="1"/>
      <w:marLeft w:val="0"/>
      <w:marRight w:val="0"/>
      <w:marTop w:val="0"/>
      <w:marBottom w:val="0"/>
      <w:divBdr>
        <w:top w:val="none" w:sz="0" w:space="0" w:color="auto"/>
        <w:left w:val="none" w:sz="0" w:space="0" w:color="auto"/>
        <w:bottom w:val="none" w:sz="0" w:space="0" w:color="auto"/>
        <w:right w:val="none" w:sz="0" w:space="0" w:color="auto"/>
      </w:divBdr>
    </w:div>
    <w:div w:id="1477606583">
      <w:bodyDiv w:val="1"/>
      <w:marLeft w:val="0"/>
      <w:marRight w:val="0"/>
      <w:marTop w:val="0"/>
      <w:marBottom w:val="0"/>
      <w:divBdr>
        <w:top w:val="none" w:sz="0" w:space="0" w:color="auto"/>
        <w:left w:val="none" w:sz="0" w:space="0" w:color="auto"/>
        <w:bottom w:val="none" w:sz="0" w:space="0" w:color="auto"/>
        <w:right w:val="none" w:sz="0" w:space="0" w:color="auto"/>
      </w:divBdr>
      <w:divsChild>
        <w:div w:id="1804080632">
          <w:marLeft w:val="0"/>
          <w:marRight w:val="0"/>
          <w:marTop w:val="0"/>
          <w:marBottom w:val="0"/>
          <w:divBdr>
            <w:top w:val="none" w:sz="0" w:space="0" w:color="auto"/>
            <w:left w:val="none" w:sz="0" w:space="0" w:color="auto"/>
            <w:bottom w:val="none" w:sz="0" w:space="0" w:color="auto"/>
            <w:right w:val="none" w:sz="0" w:space="0" w:color="auto"/>
          </w:divBdr>
        </w:div>
      </w:divsChild>
    </w:div>
    <w:div w:id="1533834642">
      <w:bodyDiv w:val="1"/>
      <w:marLeft w:val="0"/>
      <w:marRight w:val="0"/>
      <w:marTop w:val="0"/>
      <w:marBottom w:val="0"/>
      <w:divBdr>
        <w:top w:val="none" w:sz="0" w:space="0" w:color="auto"/>
        <w:left w:val="none" w:sz="0" w:space="0" w:color="auto"/>
        <w:bottom w:val="none" w:sz="0" w:space="0" w:color="auto"/>
        <w:right w:val="none" w:sz="0" w:space="0" w:color="auto"/>
      </w:divBdr>
      <w:divsChild>
        <w:div w:id="1542862650">
          <w:marLeft w:val="0"/>
          <w:marRight w:val="0"/>
          <w:marTop w:val="0"/>
          <w:marBottom w:val="0"/>
          <w:divBdr>
            <w:top w:val="none" w:sz="0" w:space="0" w:color="auto"/>
            <w:left w:val="none" w:sz="0" w:space="0" w:color="auto"/>
            <w:bottom w:val="none" w:sz="0" w:space="0" w:color="auto"/>
            <w:right w:val="none" w:sz="0" w:space="0" w:color="auto"/>
          </w:divBdr>
        </w:div>
      </w:divsChild>
    </w:div>
    <w:div w:id="1566648653">
      <w:bodyDiv w:val="1"/>
      <w:marLeft w:val="0"/>
      <w:marRight w:val="0"/>
      <w:marTop w:val="0"/>
      <w:marBottom w:val="0"/>
      <w:divBdr>
        <w:top w:val="none" w:sz="0" w:space="0" w:color="auto"/>
        <w:left w:val="none" w:sz="0" w:space="0" w:color="auto"/>
        <w:bottom w:val="none" w:sz="0" w:space="0" w:color="auto"/>
        <w:right w:val="none" w:sz="0" w:space="0" w:color="auto"/>
      </w:divBdr>
      <w:divsChild>
        <w:div w:id="653292591">
          <w:marLeft w:val="0"/>
          <w:marRight w:val="0"/>
          <w:marTop w:val="0"/>
          <w:marBottom w:val="0"/>
          <w:divBdr>
            <w:top w:val="none" w:sz="0" w:space="0" w:color="auto"/>
            <w:left w:val="none" w:sz="0" w:space="0" w:color="auto"/>
            <w:bottom w:val="none" w:sz="0" w:space="0" w:color="auto"/>
            <w:right w:val="none" w:sz="0" w:space="0" w:color="auto"/>
          </w:divBdr>
        </w:div>
      </w:divsChild>
    </w:div>
    <w:div w:id="1585065394">
      <w:bodyDiv w:val="1"/>
      <w:marLeft w:val="0"/>
      <w:marRight w:val="0"/>
      <w:marTop w:val="0"/>
      <w:marBottom w:val="0"/>
      <w:divBdr>
        <w:top w:val="none" w:sz="0" w:space="0" w:color="auto"/>
        <w:left w:val="none" w:sz="0" w:space="0" w:color="auto"/>
        <w:bottom w:val="none" w:sz="0" w:space="0" w:color="auto"/>
        <w:right w:val="none" w:sz="0" w:space="0" w:color="auto"/>
      </w:divBdr>
    </w:div>
    <w:div w:id="1602759404">
      <w:bodyDiv w:val="1"/>
      <w:marLeft w:val="0"/>
      <w:marRight w:val="0"/>
      <w:marTop w:val="0"/>
      <w:marBottom w:val="0"/>
      <w:divBdr>
        <w:top w:val="none" w:sz="0" w:space="0" w:color="auto"/>
        <w:left w:val="none" w:sz="0" w:space="0" w:color="auto"/>
        <w:bottom w:val="none" w:sz="0" w:space="0" w:color="auto"/>
        <w:right w:val="none" w:sz="0" w:space="0" w:color="auto"/>
      </w:divBdr>
      <w:divsChild>
        <w:div w:id="1645504415">
          <w:marLeft w:val="0"/>
          <w:marRight w:val="0"/>
          <w:marTop w:val="0"/>
          <w:marBottom w:val="0"/>
          <w:divBdr>
            <w:top w:val="none" w:sz="0" w:space="0" w:color="auto"/>
            <w:left w:val="none" w:sz="0" w:space="0" w:color="auto"/>
            <w:bottom w:val="none" w:sz="0" w:space="0" w:color="auto"/>
            <w:right w:val="none" w:sz="0" w:space="0" w:color="auto"/>
          </w:divBdr>
        </w:div>
      </w:divsChild>
    </w:div>
    <w:div w:id="1603025760">
      <w:bodyDiv w:val="1"/>
      <w:marLeft w:val="0"/>
      <w:marRight w:val="0"/>
      <w:marTop w:val="0"/>
      <w:marBottom w:val="0"/>
      <w:divBdr>
        <w:top w:val="none" w:sz="0" w:space="0" w:color="auto"/>
        <w:left w:val="none" w:sz="0" w:space="0" w:color="auto"/>
        <w:bottom w:val="none" w:sz="0" w:space="0" w:color="auto"/>
        <w:right w:val="none" w:sz="0" w:space="0" w:color="auto"/>
      </w:divBdr>
      <w:divsChild>
        <w:div w:id="1045327702">
          <w:marLeft w:val="0"/>
          <w:marRight w:val="0"/>
          <w:marTop w:val="0"/>
          <w:marBottom w:val="0"/>
          <w:divBdr>
            <w:top w:val="none" w:sz="0" w:space="0" w:color="auto"/>
            <w:left w:val="none" w:sz="0" w:space="0" w:color="auto"/>
            <w:bottom w:val="none" w:sz="0" w:space="0" w:color="auto"/>
            <w:right w:val="none" w:sz="0" w:space="0" w:color="auto"/>
          </w:divBdr>
        </w:div>
      </w:divsChild>
    </w:div>
    <w:div w:id="1611351631">
      <w:bodyDiv w:val="1"/>
      <w:marLeft w:val="0"/>
      <w:marRight w:val="0"/>
      <w:marTop w:val="0"/>
      <w:marBottom w:val="0"/>
      <w:divBdr>
        <w:top w:val="none" w:sz="0" w:space="0" w:color="auto"/>
        <w:left w:val="none" w:sz="0" w:space="0" w:color="auto"/>
        <w:bottom w:val="none" w:sz="0" w:space="0" w:color="auto"/>
        <w:right w:val="none" w:sz="0" w:space="0" w:color="auto"/>
      </w:divBdr>
    </w:div>
    <w:div w:id="1621178969">
      <w:bodyDiv w:val="1"/>
      <w:marLeft w:val="0"/>
      <w:marRight w:val="0"/>
      <w:marTop w:val="0"/>
      <w:marBottom w:val="0"/>
      <w:divBdr>
        <w:top w:val="none" w:sz="0" w:space="0" w:color="auto"/>
        <w:left w:val="none" w:sz="0" w:space="0" w:color="auto"/>
        <w:bottom w:val="none" w:sz="0" w:space="0" w:color="auto"/>
        <w:right w:val="none" w:sz="0" w:space="0" w:color="auto"/>
      </w:divBdr>
      <w:divsChild>
        <w:div w:id="1204945219">
          <w:marLeft w:val="0"/>
          <w:marRight w:val="0"/>
          <w:marTop w:val="0"/>
          <w:marBottom w:val="0"/>
          <w:divBdr>
            <w:top w:val="none" w:sz="0" w:space="0" w:color="auto"/>
            <w:left w:val="none" w:sz="0" w:space="0" w:color="auto"/>
            <w:bottom w:val="none" w:sz="0" w:space="0" w:color="auto"/>
            <w:right w:val="none" w:sz="0" w:space="0" w:color="auto"/>
          </w:divBdr>
        </w:div>
      </w:divsChild>
    </w:div>
    <w:div w:id="1673028798">
      <w:bodyDiv w:val="1"/>
      <w:marLeft w:val="0"/>
      <w:marRight w:val="0"/>
      <w:marTop w:val="0"/>
      <w:marBottom w:val="0"/>
      <w:divBdr>
        <w:top w:val="none" w:sz="0" w:space="0" w:color="auto"/>
        <w:left w:val="none" w:sz="0" w:space="0" w:color="auto"/>
        <w:bottom w:val="none" w:sz="0" w:space="0" w:color="auto"/>
        <w:right w:val="none" w:sz="0" w:space="0" w:color="auto"/>
      </w:divBdr>
      <w:divsChild>
        <w:div w:id="1820346916">
          <w:marLeft w:val="0"/>
          <w:marRight w:val="0"/>
          <w:marTop w:val="0"/>
          <w:marBottom w:val="0"/>
          <w:divBdr>
            <w:top w:val="none" w:sz="0" w:space="0" w:color="auto"/>
            <w:left w:val="none" w:sz="0" w:space="0" w:color="auto"/>
            <w:bottom w:val="none" w:sz="0" w:space="0" w:color="auto"/>
            <w:right w:val="none" w:sz="0" w:space="0" w:color="auto"/>
          </w:divBdr>
        </w:div>
      </w:divsChild>
    </w:div>
    <w:div w:id="1694771615">
      <w:bodyDiv w:val="1"/>
      <w:marLeft w:val="0"/>
      <w:marRight w:val="0"/>
      <w:marTop w:val="0"/>
      <w:marBottom w:val="0"/>
      <w:divBdr>
        <w:top w:val="none" w:sz="0" w:space="0" w:color="auto"/>
        <w:left w:val="none" w:sz="0" w:space="0" w:color="auto"/>
        <w:bottom w:val="none" w:sz="0" w:space="0" w:color="auto"/>
        <w:right w:val="none" w:sz="0" w:space="0" w:color="auto"/>
      </w:divBdr>
      <w:divsChild>
        <w:div w:id="1979989202">
          <w:marLeft w:val="0"/>
          <w:marRight w:val="0"/>
          <w:marTop w:val="0"/>
          <w:marBottom w:val="0"/>
          <w:divBdr>
            <w:top w:val="none" w:sz="0" w:space="0" w:color="auto"/>
            <w:left w:val="none" w:sz="0" w:space="0" w:color="auto"/>
            <w:bottom w:val="none" w:sz="0" w:space="0" w:color="auto"/>
            <w:right w:val="none" w:sz="0" w:space="0" w:color="auto"/>
          </w:divBdr>
        </w:div>
      </w:divsChild>
    </w:div>
    <w:div w:id="1700351096">
      <w:bodyDiv w:val="1"/>
      <w:marLeft w:val="0"/>
      <w:marRight w:val="0"/>
      <w:marTop w:val="0"/>
      <w:marBottom w:val="0"/>
      <w:divBdr>
        <w:top w:val="none" w:sz="0" w:space="0" w:color="auto"/>
        <w:left w:val="none" w:sz="0" w:space="0" w:color="auto"/>
        <w:bottom w:val="none" w:sz="0" w:space="0" w:color="auto"/>
        <w:right w:val="none" w:sz="0" w:space="0" w:color="auto"/>
      </w:divBdr>
      <w:divsChild>
        <w:div w:id="1543708443">
          <w:marLeft w:val="0"/>
          <w:marRight w:val="0"/>
          <w:marTop w:val="0"/>
          <w:marBottom w:val="0"/>
          <w:divBdr>
            <w:top w:val="none" w:sz="0" w:space="0" w:color="auto"/>
            <w:left w:val="none" w:sz="0" w:space="0" w:color="auto"/>
            <w:bottom w:val="none" w:sz="0" w:space="0" w:color="auto"/>
            <w:right w:val="none" w:sz="0" w:space="0" w:color="auto"/>
          </w:divBdr>
        </w:div>
      </w:divsChild>
    </w:div>
    <w:div w:id="1736010849">
      <w:bodyDiv w:val="1"/>
      <w:marLeft w:val="0"/>
      <w:marRight w:val="0"/>
      <w:marTop w:val="0"/>
      <w:marBottom w:val="0"/>
      <w:divBdr>
        <w:top w:val="none" w:sz="0" w:space="0" w:color="auto"/>
        <w:left w:val="none" w:sz="0" w:space="0" w:color="auto"/>
        <w:bottom w:val="none" w:sz="0" w:space="0" w:color="auto"/>
        <w:right w:val="none" w:sz="0" w:space="0" w:color="auto"/>
      </w:divBdr>
      <w:divsChild>
        <w:div w:id="1988044382">
          <w:marLeft w:val="0"/>
          <w:marRight w:val="0"/>
          <w:marTop w:val="0"/>
          <w:marBottom w:val="0"/>
          <w:divBdr>
            <w:top w:val="none" w:sz="0" w:space="0" w:color="auto"/>
            <w:left w:val="none" w:sz="0" w:space="0" w:color="auto"/>
            <w:bottom w:val="none" w:sz="0" w:space="0" w:color="auto"/>
            <w:right w:val="none" w:sz="0" w:space="0" w:color="auto"/>
          </w:divBdr>
        </w:div>
      </w:divsChild>
    </w:div>
    <w:div w:id="1736316444">
      <w:bodyDiv w:val="1"/>
      <w:marLeft w:val="0"/>
      <w:marRight w:val="0"/>
      <w:marTop w:val="0"/>
      <w:marBottom w:val="0"/>
      <w:divBdr>
        <w:top w:val="none" w:sz="0" w:space="0" w:color="auto"/>
        <w:left w:val="none" w:sz="0" w:space="0" w:color="auto"/>
        <w:bottom w:val="none" w:sz="0" w:space="0" w:color="auto"/>
        <w:right w:val="none" w:sz="0" w:space="0" w:color="auto"/>
      </w:divBdr>
    </w:div>
    <w:div w:id="1755394577">
      <w:bodyDiv w:val="1"/>
      <w:marLeft w:val="0"/>
      <w:marRight w:val="0"/>
      <w:marTop w:val="0"/>
      <w:marBottom w:val="0"/>
      <w:divBdr>
        <w:top w:val="none" w:sz="0" w:space="0" w:color="auto"/>
        <w:left w:val="none" w:sz="0" w:space="0" w:color="auto"/>
        <w:bottom w:val="none" w:sz="0" w:space="0" w:color="auto"/>
        <w:right w:val="none" w:sz="0" w:space="0" w:color="auto"/>
      </w:divBdr>
    </w:div>
    <w:div w:id="1757556028">
      <w:bodyDiv w:val="1"/>
      <w:marLeft w:val="0"/>
      <w:marRight w:val="0"/>
      <w:marTop w:val="0"/>
      <w:marBottom w:val="0"/>
      <w:divBdr>
        <w:top w:val="none" w:sz="0" w:space="0" w:color="auto"/>
        <w:left w:val="none" w:sz="0" w:space="0" w:color="auto"/>
        <w:bottom w:val="none" w:sz="0" w:space="0" w:color="auto"/>
        <w:right w:val="none" w:sz="0" w:space="0" w:color="auto"/>
      </w:divBdr>
    </w:div>
    <w:div w:id="1760833133">
      <w:bodyDiv w:val="1"/>
      <w:marLeft w:val="0"/>
      <w:marRight w:val="0"/>
      <w:marTop w:val="0"/>
      <w:marBottom w:val="0"/>
      <w:divBdr>
        <w:top w:val="none" w:sz="0" w:space="0" w:color="auto"/>
        <w:left w:val="none" w:sz="0" w:space="0" w:color="auto"/>
        <w:bottom w:val="none" w:sz="0" w:space="0" w:color="auto"/>
        <w:right w:val="none" w:sz="0" w:space="0" w:color="auto"/>
      </w:divBdr>
    </w:div>
    <w:div w:id="1806118147">
      <w:bodyDiv w:val="1"/>
      <w:marLeft w:val="0"/>
      <w:marRight w:val="0"/>
      <w:marTop w:val="0"/>
      <w:marBottom w:val="0"/>
      <w:divBdr>
        <w:top w:val="none" w:sz="0" w:space="0" w:color="auto"/>
        <w:left w:val="none" w:sz="0" w:space="0" w:color="auto"/>
        <w:bottom w:val="none" w:sz="0" w:space="0" w:color="auto"/>
        <w:right w:val="none" w:sz="0" w:space="0" w:color="auto"/>
      </w:divBdr>
      <w:divsChild>
        <w:div w:id="1906718560">
          <w:marLeft w:val="0"/>
          <w:marRight w:val="0"/>
          <w:marTop w:val="0"/>
          <w:marBottom w:val="0"/>
          <w:divBdr>
            <w:top w:val="none" w:sz="0" w:space="0" w:color="auto"/>
            <w:left w:val="none" w:sz="0" w:space="0" w:color="auto"/>
            <w:bottom w:val="none" w:sz="0" w:space="0" w:color="auto"/>
            <w:right w:val="none" w:sz="0" w:space="0" w:color="auto"/>
          </w:divBdr>
        </w:div>
      </w:divsChild>
    </w:div>
    <w:div w:id="1830560678">
      <w:bodyDiv w:val="1"/>
      <w:marLeft w:val="0"/>
      <w:marRight w:val="0"/>
      <w:marTop w:val="0"/>
      <w:marBottom w:val="0"/>
      <w:divBdr>
        <w:top w:val="none" w:sz="0" w:space="0" w:color="auto"/>
        <w:left w:val="none" w:sz="0" w:space="0" w:color="auto"/>
        <w:bottom w:val="none" w:sz="0" w:space="0" w:color="auto"/>
        <w:right w:val="none" w:sz="0" w:space="0" w:color="auto"/>
      </w:divBdr>
      <w:divsChild>
        <w:div w:id="1599210813">
          <w:marLeft w:val="0"/>
          <w:marRight w:val="0"/>
          <w:marTop w:val="0"/>
          <w:marBottom w:val="0"/>
          <w:divBdr>
            <w:top w:val="none" w:sz="0" w:space="0" w:color="auto"/>
            <w:left w:val="none" w:sz="0" w:space="0" w:color="auto"/>
            <w:bottom w:val="none" w:sz="0" w:space="0" w:color="auto"/>
            <w:right w:val="none" w:sz="0" w:space="0" w:color="auto"/>
          </w:divBdr>
        </w:div>
      </w:divsChild>
    </w:div>
    <w:div w:id="1857032982">
      <w:bodyDiv w:val="1"/>
      <w:marLeft w:val="0"/>
      <w:marRight w:val="0"/>
      <w:marTop w:val="0"/>
      <w:marBottom w:val="0"/>
      <w:divBdr>
        <w:top w:val="none" w:sz="0" w:space="0" w:color="auto"/>
        <w:left w:val="none" w:sz="0" w:space="0" w:color="auto"/>
        <w:bottom w:val="none" w:sz="0" w:space="0" w:color="auto"/>
        <w:right w:val="none" w:sz="0" w:space="0" w:color="auto"/>
      </w:divBdr>
      <w:divsChild>
        <w:div w:id="431242874">
          <w:marLeft w:val="0"/>
          <w:marRight w:val="0"/>
          <w:marTop w:val="0"/>
          <w:marBottom w:val="0"/>
          <w:divBdr>
            <w:top w:val="none" w:sz="0" w:space="0" w:color="auto"/>
            <w:left w:val="none" w:sz="0" w:space="0" w:color="auto"/>
            <w:bottom w:val="none" w:sz="0" w:space="0" w:color="auto"/>
            <w:right w:val="none" w:sz="0" w:space="0" w:color="auto"/>
          </w:divBdr>
        </w:div>
      </w:divsChild>
    </w:div>
    <w:div w:id="1858108129">
      <w:bodyDiv w:val="1"/>
      <w:marLeft w:val="0"/>
      <w:marRight w:val="0"/>
      <w:marTop w:val="0"/>
      <w:marBottom w:val="0"/>
      <w:divBdr>
        <w:top w:val="none" w:sz="0" w:space="0" w:color="auto"/>
        <w:left w:val="none" w:sz="0" w:space="0" w:color="auto"/>
        <w:bottom w:val="none" w:sz="0" w:space="0" w:color="auto"/>
        <w:right w:val="none" w:sz="0" w:space="0" w:color="auto"/>
      </w:divBdr>
      <w:divsChild>
        <w:div w:id="168837484">
          <w:marLeft w:val="0"/>
          <w:marRight w:val="0"/>
          <w:marTop w:val="0"/>
          <w:marBottom w:val="0"/>
          <w:divBdr>
            <w:top w:val="none" w:sz="0" w:space="0" w:color="auto"/>
            <w:left w:val="none" w:sz="0" w:space="0" w:color="auto"/>
            <w:bottom w:val="none" w:sz="0" w:space="0" w:color="auto"/>
            <w:right w:val="none" w:sz="0" w:space="0" w:color="auto"/>
          </w:divBdr>
        </w:div>
      </w:divsChild>
    </w:div>
    <w:div w:id="1876035611">
      <w:bodyDiv w:val="1"/>
      <w:marLeft w:val="0"/>
      <w:marRight w:val="0"/>
      <w:marTop w:val="0"/>
      <w:marBottom w:val="0"/>
      <w:divBdr>
        <w:top w:val="none" w:sz="0" w:space="0" w:color="auto"/>
        <w:left w:val="none" w:sz="0" w:space="0" w:color="auto"/>
        <w:bottom w:val="none" w:sz="0" w:space="0" w:color="auto"/>
        <w:right w:val="none" w:sz="0" w:space="0" w:color="auto"/>
      </w:divBdr>
      <w:divsChild>
        <w:div w:id="2126345777">
          <w:marLeft w:val="0"/>
          <w:marRight w:val="0"/>
          <w:marTop w:val="0"/>
          <w:marBottom w:val="0"/>
          <w:divBdr>
            <w:top w:val="none" w:sz="0" w:space="0" w:color="auto"/>
            <w:left w:val="none" w:sz="0" w:space="0" w:color="auto"/>
            <w:bottom w:val="none" w:sz="0" w:space="0" w:color="auto"/>
            <w:right w:val="none" w:sz="0" w:space="0" w:color="auto"/>
          </w:divBdr>
        </w:div>
      </w:divsChild>
    </w:div>
    <w:div w:id="1920284689">
      <w:bodyDiv w:val="1"/>
      <w:marLeft w:val="0"/>
      <w:marRight w:val="0"/>
      <w:marTop w:val="0"/>
      <w:marBottom w:val="0"/>
      <w:divBdr>
        <w:top w:val="none" w:sz="0" w:space="0" w:color="auto"/>
        <w:left w:val="none" w:sz="0" w:space="0" w:color="auto"/>
        <w:bottom w:val="none" w:sz="0" w:space="0" w:color="auto"/>
        <w:right w:val="none" w:sz="0" w:space="0" w:color="auto"/>
      </w:divBdr>
      <w:divsChild>
        <w:div w:id="1959025426">
          <w:marLeft w:val="0"/>
          <w:marRight w:val="0"/>
          <w:marTop w:val="0"/>
          <w:marBottom w:val="0"/>
          <w:divBdr>
            <w:top w:val="none" w:sz="0" w:space="0" w:color="auto"/>
            <w:left w:val="none" w:sz="0" w:space="0" w:color="auto"/>
            <w:bottom w:val="none" w:sz="0" w:space="0" w:color="auto"/>
            <w:right w:val="none" w:sz="0" w:space="0" w:color="auto"/>
          </w:divBdr>
        </w:div>
      </w:divsChild>
    </w:div>
    <w:div w:id="1962223594">
      <w:bodyDiv w:val="1"/>
      <w:marLeft w:val="0"/>
      <w:marRight w:val="0"/>
      <w:marTop w:val="0"/>
      <w:marBottom w:val="0"/>
      <w:divBdr>
        <w:top w:val="none" w:sz="0" w:space="0" w:color="auto"/>
        <w:left w:val="none" w:sz="0" w:space="0" w:color="auto"/>
        <w:bottom w:val="none" w:sz="0" w:space="0" w:color="auto"/>
        <w:right w:val="none" w:sz="0" w:space="0" w:color="auto"/>
      </w:divBdr>
      <w:divsChild>
        <w:div w:id="187792592">
          <w:marLeft w:val="0"/>
          <w:marRight w:val="0"/>
          <w:marTop w:val="0"/>
          <w:marBottom w:val="0"/>
          <w:divBdr>
            <w:top w:val="none" w:sz="0" w:space="0" w:color="auto"/>
            <w:left w:val="none" w:sz="0" w:space="0" w:color="auto"/>
            <w:bottom w:val="none" w:sz="0" w:space="0" w:color="auto"/>
            <w:right w:val="none" w:sz="0" w:space="0" w:color="auto"/>
          </w:divBdr>
        </w:div>
      </w:divsChild>
    </w:div>
    <w:div w:id="1964382251">
      <w:bodyDiv w:val="1"/>
      <w:marLeft w:val="0"/>
      <w:marRight w:val="0"/>
      <w:marTop w:val="0"/>
      <w:marBottom w:val="0"/>
      <w:divBdr>
        <w:top w:val="none" w:sz="0" w:space="0" w:color="auto"/>
        <w:left w:val="none" w:sz="0" w:space="0" w:color="auto"/>
        <w:bottom w:val="none" w:sz="0" w:space="0" w:color="auto"/>
        <w:right w:val="none" w:sz="0" w:space="0" w:color="auto"/>
      </w:divBdr>
      <w:divsChild>
        <w:div w:id="686912099">
          <w:marLeft w:val="0"/>
          <w:marRight w:val="0"/>
          <w:marTop w:val="0"/>
          <w:marBottom w:val="0"/>
          <w:divBdr>
            <w:top w:val="none" w:sz="0" w:space="0" w:color="auto"/>
            <w:left w:val="none" w:sz="0" w:space="0" w:color="auto"/>
            <w:bottom w:val="none" w:sz="0" w:space="0" w:color="auto"/>
            <w:right w:val="none" w:sz="0" w:space="0" w:color="auto"/>
          </w:divBdr>
        </w:div>
      </w:divsChild>
    </w:div>
    <w:div w:id="2012366975">
      <w:bodyDiv w:val="1"/>
      <w:marLeft w:val="0"/>
      <w:marRight w:val="0"/>
      <w:marTop w:val="0"/>
      <w:marBottom w:val="0"/>
      <w:divBdr>
        <w:top w:val="none" w:sz="0" w:space="0" w:color="auto"/>
        <w:left w:val="none" w:sz="0" w:space="0" w:color="auto"/>
        <w:bottom w:val="none" w:sz="0" w:space="0" w:color="auto"/>
        <w:right w:val="none" w:sz="0" w:space="0" w:color="auto"/>
      </w:divBdr>
      <w:divsChild>
        <w:div w:id="1498108352">
          <w:marLeft w:val="0"/>
          <w:marRight w:val="0"/>
          <w:marTop w:val="0"/>
          <w:marBottom w:val="0"/>
          <w:divBdr>
            <w:top w:val="none" w:sz="0" w:space="0" w:color="auto"/>
            <w:left w:val="none" w:sz="0" w:space="0" w:color="auto"/>
            <w:bottom w:val="none" w:sz="0" w:space="0" w:color="auto"/>
            <w:right w:val="none" w:sz="0" w:space="0" w:color="auto"/>
          </w:divBdr>
        </w:div>
      </w:divsChild>
    </w:div>
    <w:div w:id="2034381609">
      <w:bodyDiv w:val="1"/>
      <w:marLeft w:val="0"/>
      <w:marRight w:val="0"/>
      <w:marTop w:val="0"/>
      <w:marBottom w:val="0"/>
      <w:divBdr>
        <w:top w:val="none" w:sz="0" w:space="0" w:color="auto"/>
        <w:left w:val="none" w:sz="0" w:space="0" w:color="auto"/>
        <w:bottom w:val="none" w:sz="0" w:space="0" w:color="auto"/>
        <w:right w:val="none" w:sz="0" w:space="0" w:color="auto"/>
      </w:divBdr>
      <w:divsChild>
        <w:div w:id="1457527990">
          <w:marLeft w:val="0"/>
          <w:marRight w:val="0"/>
          <w:marTop w:val="0"/>
          <w:marBottom w:val="0"/>
          <w:divBdr>
            <w:top w:val="none" w:sz="0" w:space="0" w:color="auto"/>
            <w:left w:val="none" w:sz="0" w:space="0" w:color="auto"/>
            <w:bottom w:val="none" w:sz="0" w:space="0" w:color="auto"/>
            <w:right w:val="none" w:sz="0" w:space="0" w:color="auto"/>
          </w:divBdr>
        </w:div>
      </w:divsChild>
    </w:div>
    <w:div w:id="2044550854">
      <w:bodyDiv w:val="1"/>
      <w:marLeft w:val="0"/>
      <w:marRight w:val="0"/>
      <w:marTop w:val="0"/>
      <w:marBottom w:val="0"/>
      <w:divBdr>
        <w:top w:val="none" w:sz="0" w:space="0" w:color="auto"/>
        <w:left w:val="none" w:sz="0" w:space="0" w:color="auto"/>
        <w:bottom w:val="none" w:sz="0" w:space="0" w:color="auto"/>
        <w:right w:val="none" w:sz="0" w:space="0" w:color="auto"/>
      </w:divBdr>
      <w:divsChild>
        <w:div w:id="444692108">
          <w:marLeft w:val="0"/>
          <w:marRight w:val="0"/>
          <w:marTop w:val="0"/>
          <w:marBottom w:val="0"/>
          <w:divBdr>
            <w:top w:val="none" w:sz="0" w:space="0" w:color="auto"/>
            <w:left w:val="none" w:sz="0" w:space="0" w:color="auto"/>
            <w:bottom w:val="none" w:sz="0" w:space="0" w:color="auto"/>
            <w:right w:val="none" w:sz="0" w:space="0" w:color="auto"/>
          </w:divBdr>
        </w:div>
      </w:divsChild>
    </w:div>
    <w:div w:id="2072387847">
      <w:bodyDiv w:val="1"/>
      <w:marLeft w:val="0"/>
      <w:marRight w:val="0"/>
      <w:marTop w:val="0"/>
      <w:marBottom w:val="0"/>
      <w:divBdr>
        <w:top w:val="none" w:sz="0" w:space="0" w:color="auto"/>
        <w:left w:val="none" w:sz="0" w:space="0" w:color="auto"/>
        <w:bottom w:val="none" w:sz="0" w:space="0" w:color="auto"/>
        <w:right w:val="none" w:sz="0" w:space="0" w:color="auto"/>
      </w:divBdr>
      <w:divsChild>
        <w:div w:id="96566294">
          <w:marLeft w:val="0"/>
          <w:marRight w:val="0"/>
          <w:marTop w:val="0"/>
          <w:marBottom w:val="0"/>
          <w:divBdr>
            <w:top w:val="none" w:sz="0" w:space="0" w:color="auto"/>
            <w:left w:val="none" w:sz="0" w:space="0" w:color="auto"/>
            <w:bottom w:val="none" w:sz="0" w:space="0" w:color="auto"/>
            <w:right w:val="none" w:sz="0" w:space="0" w:color="auto"/>
          </w:divBdr>
        </w:div>
      </w:divsChild>
    </w:div>
    <w:div w:id="2083986226">
      <w:bodyDiv w:val="1"/>
      <w:marLeft w:val="0"/>
      <w:marRight w:val="0"/>
      <w:marTop w:val="0"/>
      <w:marBottom w:val="0"/>
      <w:divBdr>
        <w:top w:val="none" w:sz="0" w:space="0" w:color="auto"/>
        <w:left w:val="none" w:sz="0" w:space="0" w:color="auto"/>
        <w:bottom w:val="none" w:sz="0" w:space="0" w:color="auto"/>
        <w:right w:val="none" w:sz="0" w:space="0" w:color="auto"/>
      </w:divBdr>
      <w:divsChild>
        <w:div w:id="1147894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asp.economia.go.gov.br/legislacao/arquivos/Leis/L_13453.htm" TargetMode="External"/><Relationship Id="rId13" Type="http://schemas.openxmlformats.org/officeDocument/2006/relationships/hyperlink" Target="http://www4.tjmg.jus.br/juridico/sf/proc_resultado2.jsp?listaProcessos=10479160058372001" TargetMode="External"/><Relationship Id="rId3" Type="http://schemas.openxmlformats.org/officeDocument/2006/relationships/settings" Target="settings.xml"/><Relationship Id="rId7" Type="http://schemas.openxmlformats.org/officeDocument/2006/relationships/hyperlink" Target="https://appasp.economia.go.gov.br/legislacao/arquivos/Decretos/D_08304.htm" TargetMode="External"/><Relationship Id="rId12" Type="http://schemas.openxmlformats.org/officeDocument/2006/relationships/hyperlink" Target="http://www4.tjmg.jus.br/juridico/sf/proc_resultado2.jsp?listaProcessos=104791600583720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ppasp.economia.go.gov.br/legislacao/arquivos/Leis/L_13453.htm" TargetMode="External"/><Relationship Id="rId11" Type="http://schemas.openxmlformats.org/officeDocument/2006/relationships/hyperlink" Target="https://appasp.economia.go.gov.br/legislacao/arquivos/Decretos/D_08304.htm" TargetMode="External"/><Relationship Id="rId5" Type="http://schemas.openxmlformats.org/officeDocument/2006/relationships/hyperlink" Target="https://appasp.economia.go.gov.br/legislacao/arquivos/Leis/L_18640.htm" TargetMode="External"/><Relationship Id="rId15" Type="http://schemas.openxmlformats.org/officeDocument/2006/relationships/hyperlink" Target="http://sei.go.gov.br/sei/controlador_externo.php?acao=documento_conferir&amp;id_orgao_acesso_externo=1&amp;cv=72743080&amp;crc=0E2C1226" TargetMode="External"/><Relationship Id="rId10" Type="http://schemas.openxmlformats.org/officeDocument/2006/relationships/hyperlink" Target="https://appasp.economia.go.gov.br/legislacao/arquivos/Leis/L_13453.htm" TargetMode="External"/><Relationship Id="rId4" Type="http://schemas.openxmlformats.org/officeDocument/2006/relationships/webSettings" Target="webSettings.xml"/><Relationship Id="rId9" Type="http://schemas.openxmlformats.org/officeDocument/2006/relationships/hyperlink" Target="https://appasp.economia.go.gov.br/legislacao/arquivos/Decretos/D_08304.htm" TargetMode="External"/><Relationship Id="rId14" Type="http://schemas.openxmlformats.org/officeDocument/2006/relationships/hyperlink" Target="http://normas.receita.fazenda.gov.br/sijut2consulta/link.action?idAto=101537"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2953</Words>
  <Characters>15950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dc:creator>
  <cp:lastModifiedBy>Diogo Times Alves</cp:lastModifiedBy>
  <cp:revision>3</cp:revision>
  <dcterms:created xsi:type="dcterms:W3CDTF">2025-06-05T14:30:00Z</dcterms:created>
  <dcterms:modified xsi:type="dcterms:W3CDTF">2025-11-24T10:20:00Z</dcterms:modified>
</cp:coreProperties>
</file>